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6.png" ContentType="image/png"/>
  <Override PartName="/word/media/rId27.png" ContentType="image/png"/>
  <Override PartName="/word/media/rId43.png" ContentType="image/png"/>
  <Override PartName="/word/media/rId52.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 by demographic variables.</w:t>
      </w:r>
    </w:p>
    <w:p>
      <w:pPr>
        <w:pStyle w:val="Heading1"/>
      </w:pPr>
      <w:bookmarkStart w:id="23" w:name="introduction"/>
      <w:r>
        <w:t xml:space="preserve">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Measures mapped</w:t>
      </w:r>
      <w:bookmarkEnd w:id="24"/>
    </w:p>
    <w:p>
      <w:pPr>
        <w:pStyle w:val="FirstParagraph"/>
      </w:pPr>
      <w:r>
        <w:t xml:space="preserve">Epidemiologists and statisticians have developed the statistics used to communicate the burden of cancer over several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4</w:t>
        </w:r>
      </w:hyperlink>
      <w:r>
        <w:t xml:space="preserve">]</w:t>
      </w:r>
      <w:r>
        <w:t xml:space="preserve">, Englishman P. Stocks advanced the field of mortality statistics by introducing the standardized mortality ratios in the 1930s, which is an improvement on crude death rates.</w:t>
      </w:r>
    </w:p>
    <w:p>
      <w:pPr>
        <w:pStyle w:val="BodyText"/>
      </w:pPr>
      <w:r>
        <w:t xml:space="preserve">XXX</w:t>
      </w:r>
      <w:r>
        <w:t xml:space="preserve"> </w:t>
      </w:r>
      <w:r>
        <w:t xml:space="preserve">Some of the measures used to present cancer statistics are aggregations. The counts of cases in small areas can be difficult to obtain as they are often protected for privacy reasons. The information released and the statistics presented in worldwide cancer atlases are often modelled estimates. The measures described in table use Incidence as the statistic of interest, this is the amount of new cases and the same statistics can be used to describe the mortality, in this case Standardised Incidence Rate is analogous to the Standarised Mortality Rate.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5</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5</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5</w:t>
              </w:r>
            </w:hyperlink>
            <w:r>
              <w:t xml:space="preserve">]</w:t>
            </w:r>
          </w:p>
        </w:tc>
        <w:tc>
          <w:p>
            <w:pPr>
              <w:pStyle w:val="Compact"/>
              <w:jc w:val="left"/>
            </w:pPr>
            <w:r>
              <w:t xml:space="preserve">b, 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a, f</w:t>
            </w:r>
          </w:p>
        </w:tc>
      </w:tr>
    </w:tbl>
    <w:p>
      <w:pPr>
        <w:pStyle w:val="BodyText"/>
      </w:pPr>
      <w:r>
        <w:t xml:space="preserve">Table describes the common measures used to present cancer incidence in atlases. The calculations used to produce these measures often are also applied to mortality statistics.The Excess Hazard Ratio and Standardized Incidence Ratio are additional measures that can be found in atlases, but are not used in the images displayed in Figure 1.</w:t>
      </w:r>
    </w:p>
    <w:p>
      <w:pPr>
        <w:pStyle w:val="Heading1"/>
      </w:pPr>
      <w:bookmarkStart w:id="25" w:name="visualisation-approaches"/>
      <w:r>
        <w:t xml:space="preserve">Visualisation approaches</w:t>
      </w:r>
      <w:bookmarkEnd w:id="25"/>
    </w:p>
    <w:p>
      <w:pPr>
        <w:pStyle w:val="Heading2"/>
      </w:pPr>
      <w:bookmarkStart w:id="26" w:name="ch:choropleth-maps"/>
      <w:r>
        <w:t xml:space="preserve">Traditional approaches for cancer map displays</w:t>
      </w:r>
      <w:bookmarkEnd w:id="26"/>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7</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8</w:t>
        </w:r>
      </w:hyperlink>
      <w:r>
        <w:t xml:space="preserve">]</w:t>
      </w:r>
      <w:r>
        <w:t xml:space="preserve">,</w:t>
      </w:r>
      <w:r>
        <w:t xml:space="preserve"> </w:t>
      </w:r>
      <w:r>
        <w:t xml:space="preserve">[</w:t>
      </w:r>
      <w:hyperlink w:anchor="ref-BCM">
        <w:r>
          <w:rPr>
            <w:rStyle w:val="Hyperlink"/>
          </w:rPr>
          <w:t xml:space="preserve">9</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7</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10</w:t>
        </w:r>
      </w:hyperlink>
      <w:r>
        <w:t xml:space="preserve">]</w:t>
      </w:r>
      <w:r>
        <w:t xml:space="preserve">, including cancer data</w:t>
      </w:r>
      <w:r>
        <w:t xml:space="preserve"> </w:t>
      </w:r>
      <w:r>
        <w:t xml:space="preserve">[</w:t>
      </w:r>
      <w:hyperlink w:anchor="ref-CPISACA">
        <w:r>
          <w:rPr>
            <w:rStyle w:val="Hyperlink"/>
          </w:rPr>
          <w:t xml:space="preserve">11</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12</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11</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10</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4"/>
        <w:gridCol w:w="1188"/>
        <w:gridCol w:w="1089"/>
        <w:gridCol w:w="2178"/>
        <w:gridCol w:w="2871"/>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hyperlink r:id="rId28">
              <w:r>
                <w:rPr>
                  <w:rStyle w:val="Hyperlink"/>
                </w:rPr>
                <w:t xml:space="preserve">Office for National Statistics</w:t>
              </w:r>
              <w:r>
                <w:rPr>
                  <w:rStyle w:val="Hyperlink"/>
                </w:rPr>
                <w:t xml:space="preserve"> </w:t>
              </w:r>
              <w:r>
                <w:rPr>
                  <w:rStyle w:val="Hyperlink"/>
                </w:rPr>
                <w:t xml:space="preserve">(ONS) (England) and from the</w:t>
              </w:r>
              <w:r>
                <w:rPr>
                  <w:rStyle w:val="Hyperlink"/>
                </w:rPr>
                <w:t xml:space="preserve"> </w:t>
              </w:r>
              <w:r>
                <w:rPr>
                  <w:rStyle w:val="Hyperlink"/>
                </w:rPr>
                <w:t xml:space="preserve">Welsh Cancer Intelligence and</w:t>
              </w:r>
              <w:r>
                <w:rPr>
                  <w:rStyle w:val="Hyperlink"/>
                </w:rPr>
                <w:t xml:space="preserve"> </w:t>
              </w:r>
              <w:r>
                <w:rPr>
                  <w:rStyle w:val="Hyperlink"/>
                </w:rPr>
                <w:t xml:space="preserve">Surveillance Unit (WCISU)</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5</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hyperlink r:id="rId29">
              <w:r>
                <w:rPr>
                  <w:rStyle w:val="Hyperlink"/>
                </w:rPr>
                <w:t xml:space="preserve">https://www.iarc.fr/</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13</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hyperlink r:id="rId30">
              <w:r>
                <w:rPr>
                  <w:rStyle w:val="Hyperlink"/>
                </w:rPr>
                <w:t xml:space="preserve">Queensland Cancer Registry</w:t>
              </w:r>
            </w:hyperlink>
          </w:p>
        </w:tc>
      </w:tr>
      <w:tr>
        <w:tc>
          <w:p>
            <w:pPr>
              <w:pStyle w:val="Compact"/>
              <w:jc w:val="left"/>
            </w:pPr>
            <w:r>
              <w:t xml:space="preserve">d</w:t>
            </w:r>
          </w:p>
        </w:tc>
        <w:tc>
          <w:p>
            <w:pPr>
              <w:pStyle w:val="Compact"/>
              <w:jc w:val="left"/>
            </w:pPr>
            <w:r>
              <w:t xml:space="preserve">Australian Cancer Atlas</w:t>
            </w:r>
            <w:r>
              <w:t xml:space="preserve"> </w:t>
            </w:r>
            <w:r>
              <w:t xml:space="preserve">[</w:t>
            </w:r>
            <w:hyperlink w:anchor="ref-ACA">
              <w:r>
                <w:rPr>
                  <w:rStyle w:val="Hyperlink"/>
                </w:rPr>
                <w:t xml:space="preserve">14</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Average standardised</w:t>
            </w:r>
            <w:r>
              <w:t xml:space="preserve"> </w:t>
            </w:r>
            <w:r>
              <w:t xml:space="preserve">incidence rate</w:t>
            </w:r>
          </w:p>
        </w:tc>
        <w:tc>
          <w:p>
            <w:pPr>
              <w:pStyle w:val="Compact"/>
              <w:jc w:val="left"/>
            </w:pPr>
            <w:hyperlink r:id="rId31">
              <w:r>
                <w:rPr>
                  <w:rStyle w:val="Hyperlink"/>
                </w:rPr>
                <w:t xml:space="preserve">Australian Cancer Atlas</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hyperlink r:id="rId32">
              <w:r>
                <w:rPr>
                  <w:rStyle w:val="Hyperlink"/>
                </w:rPr>
                <w:t xml:space="preserve">Centers for Disease Control and Prevention</w:t>
              </w:r>
            </w:hyperlink>
          </w:p>
        </w:tc>
      </w:tr>
      <w:tr>
        <w:tc>
          <w:p>
            <w:pPr>
              <w:pStyle w:val="Compact"/>
              <w:jc w:val="left"/>
            </w:pPr>
            <w:r>
              <w:t xml:space="preserve">f</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 </w:t>
            </w:r>
            <w:r>
              <w:t xml:space="preserve">Year: 2004 - 2008</w:t>
            </w:r>
            <w:r>
              <w:t xml:space="preserve"> </w:t>
            </w:r>
            <w:r>
              <w:t xml:space="preserve">Cancer: All types</w:t>
            </w:r>
          </w:p>
        </w:tc>
        <w:tc>
          <w:p>
            <w:pPr>
              <w:pStyle w:val="Compact"/>
              <w:jc w:val="left"/>
            </w:pPr>
            <w:r>
              <w:t xml:space="preserve">Relative risk</w:t>
            </w:r>
          </w:p>
        </w:tc>
        <w:tc>
          <w:p>
            <w:pPr>
              <w:pStyle w:val="Compact"/>
              <w:jc w:val="left"/>
            </w:pPr>
            <w:r>
              <w:t xml:space="preserve"> </w:t>
            </w:r>
            <w:r>
              <w:t xml:space="preserve">[Map of cancer mortality rates</w:t>
            </w:r>
            <w:r>
              <w:t xml:space="preserve"> </w:t>
            </w:r>
            <w:r>
              <w:t xml:space="preserve">in Spain](</w:t>
            </w:r>
            <w:hyperlink r:id="rId33">
              <w:r>
                <w:rPr>
                  <w:rStyle w:val="Hyperlink"/>
                </w:rPr>
                <w:t xml:space="preserve">https://elpais.com/elpais/2014/10/06/media/1412612722_141933.html</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hyperlink r:id="rId34">
              <w:r>
                <w:rPr>
                  <w:rStyle w:val="Hyperlink"/>
                </w:rPr>
                <w:t xml:space="preserve">The Pediatric Oncology Group</w:t>
              </w:r>
              <w:r>
                <w:rPr>
                  <w:rStyle w:val="Hyperlink"/>
                </w:rPr>
                <w:t xml:space="preserve"> </w:t>
              </w:r>
              <w:r>
                <w:rPr>
                  <w:rStyle w:val="Hyperlink"/>
                </w:rPr>
                <w:t xml:space="preserve">of Ontario Networked Information</w:t>
              </w:r>
              <w:r>
                <w:rPr>
                  <w:rStyle w:val="Hyperlink"/>
                </w:rPr>
                <w:t xml:space="preserve"> </w:t>
              </w:r>
              <w:r>
                <w:rPr>
                  <w:rStyle w:val="Hyperlink"/>
                </w:rPr>
                <w:t xml:space="preserve">System</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5</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6</w:t>
        </w:r>
      </w:hyperlink>
      <w:r>
        <w:t xml:space="preserve">]</w:t>
      </w:r>
      <w:r>
        <w:t xml:space="preserve"> </w:t>
      </w:r>
      <w:r>
        <w:t xml:space="preserve">(Figure 1</w:t>
      </w:r>
      <w:r>
        <w:t xml:space="preserve">a) shows the relative risk for women developing lung cancer at a neighborhood (small-area) scale (n = 8850). The Australian Cancer Atlas (Figure 1</w:t>
      </w:r>
      <w:r>
        <w:t xml:space="preserve">d)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w:t>
      </w:r>
      <w:r>
        <w:t xml:space="preserve">c) shows a subset of the Australian Statistical Local Areas (SLAs) located in the state of Queensland within Australia</w:t>
      </w:r>
      <w:r>
        <w:t xml:space="preserve"> </w:t>
      </w:r>
      <w:r>
        <w:t xml:space="preserve">[</w:t>
      </w:r>
      <w:hyperlink w:anchor="ref-QLDcancerAtlas">
        <w:r>
          <w:rPr>
            <w:rStyle w:val="Hyperlink"/>
          </w:rPr>
          <w:t xml:space="preserve">13</w:t>
        </w:r>
      </w:hyperlink>
      <w:r>
        <w:t xml:space="preserve">]</w:t>
      </w:r>
      <w:r>
        <w:t xml:space="preserve"> </w:t>
      </w:r>
      <w:r>
        <w:t xml:space="preserve">(n = 478).</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8</w:t>
        </w:r>
      </w:hyperlink>
      <w:r>
        <w:t xml:space="preserve">]</w:t>
      </w:r>
      <w:r>
        <w:t xml:space="preserve">. Skowronnek also</w:t>
      </w:r>
      <w:r>
        <w:t xml:space="preserve"> </w:t>
      </w:r>
      <w:r>
        <w:t xml:space="preserve">[</w:t>
      </w:r>
      <w:hyperlink w:anchor="ref-BCM">
        <w:r>
          <w:rPr>
            <w:rStyle w:val="Hyperlink"/>
          </w:rPr>
          <w:t xml:space="preserve">9</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8</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that has a linear color gradient,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 It is possible to allow for data to progress uniformly in both positive and negative directions from a mid point, such as the mean of the data. These diverging colour schemes pair two sequential schemes that use a common light colour at the mid point, each sequential scheme progresses to a dark hue at the extreme value in each direction</w:t>
      </w:r>
      <w:r>
        <w:t xml:space="preserve"> </w:t>
      </w:r>
      <w:r>
        <w:t xml:space="preserve">[</w:t>
      </w:r>
      <w:hyperlink w:anchor="ref-DCS">
        <w:r>
          <w:rPr>
            <w:rStyle w:val="Hyperlink"/>
          </w:rPr>
          <w:t xml:space="preserve">24</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BodyText"/>
      </w:pPr>
      <w:r>
        <w:t xml:space="preserve">Inset maps like in Brisbane city in Figure 1</w:t>
      </w:r>
      <w:r>
        <w:t xml:space="preserve">c of the state of Queensland are commonly used to reduce distorted interpretations, but it is a bandaid remedy. For Australia, many, many inset maps would be needed.</w:t>
      </w:r>
    </w:p>
    <w:p>
      <w:pPr>
        <w:pStyle w:val="Heading2"/>
      </w:pPr>
      <w:bookmarkStart w:id="35" w:name="ch:alternatives"/>
      <w:r>
        <w:t xml:space="preserve">Contemporary alternatives to choropleth maps</w:t>
      </w:r>
      <w:bookmarkEnd w:id="35"/>
    </w:p>
    <w:p>
      <w:pPr>
        <w:pStyle w:val="Heading3"/>
      </w:pPr>
      <w:bookmarkStart w:id="36" w:name="cartograms"/>
      <w:r>
        <w:t xml:space="preserve">Cartograms</w:t>
      </w:r>
      <w:bookmarkEnd w:id="36"/>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9</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25</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When a map creator desires a uniform population density of the map base, the purposeful distortion of the map space is beneficial. The</w:t>
      </w:r>
      <w:r>
        <w:t xml:space="preserve"> </w:t>
      </w:r>
      <w:r>
        <w:t xml:space="preserve">“</w:t>
      </w:r>
      <w:r>
        <w:t xml:space="preserve">population distribution is often extremely uneven</w:t>
      </w:r>
      <w:r>
        <w:t xml:space="preserve">”</w:t>
      </w:r>
      <w:r>
        <w:t xml:space="preserve">, making a distortion necessary so that population is more faithfully represented as a uniformly distributed background for the statistic to be presented</w:t>
      </w:r>
      <w:r>
        <w:t xml:space="preserve"> </w:t>
      </w:r>
      <w:r>
        <w:t xml:space="preserve">[</w:t>
      </w:r>
      <w:hyperlink w:anchor="ref-ACTUC">
        <w:r>
          <w:rPr>
            <w:rStyle w:val="Hyperlink"/>
          </w:rPr>
          <w:t xml:space="preserve">20</w:t>
        </w:r>
      </w:hyperlink>
      <w:r>
        <w:t xml:space="preserve">]</w:t>
      </w:r>
      <w:r>
        <w:t xml:space="preserve"> </w:t>
      </w:r>
      <w:r>
        <w:t xml:space="preserve">[</w:t>
      </w:r>
      <w:hyperlink w:anchor="ref-CTTMB">
        <w:r>
          <w:rPr>
            <w:rStyle w:val="Hyperlink"/>
          </w:rPr>
          <w:t xml:space="preserve">26</w:t>
        </w:r>
      </w:hyperlink>
      <w:r>
        <w:t xml:space="preserve">]</w:t>
      </w:r>
      <w:r>
        <w:t xml:space="preserve"> </w:t>
      </w:r>
      <w:r>
        <w:t xml:space="preserve">[</w:t>
      </w:r>
      <w:hyperlink w:anchor="ref-GOINO">
        <w:r>
          <w:rPr>
            <w:rStyle w:val="Hyperlink"/>
          </w:rPr>
          <w:t xml:space="preserve">27</w:t>
        </w:r>
      </w:hyperlink>
      <w:r>
        <w:t xml:space="preserve">]</w:t>
      </w:r>
      <w:r>
        <w:t xml:space="preserve">. An area cartogram</w:t>
      </w:r>
      <w:r>
        <w:t xml:space="preserve"> </w:t>
      </w:r>
      <w:r>
        <w:t xml:space="preserve">[</w:t>
      </w:r>
      <w:hyperlink w:anchor="ref-NAC">
        <w:r>
          <w:rPr>
            <w:rStyle w:val="Hyperlink"/>
          </w:rPr>
          <w:t xml:space="preserve">28</w:t>
        </w:r>
      </w:hyperlink>
      <w:r>
        <w:t xml:space="preserve">]</w:t>
      </w:r>
      <w:r>
        <w:t xml:space="preserve">, or population-by-area cartogram</w:t>
      </w:r>
      <w:r>
        <w:t xml:space="preserve"> </w:t>
      </w:r>
      <w:r>
        <w:t xml:space="preserve">[</w:t>
      </w:r>
      <w:hyperlink w:anchor="ref-TAAM">
        <w:r>
          <w:rPr>
            <w:rStyle w:val="Hyperlink"/>
          </w:rPr>
          <w:t xml:space="preserve">29</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30</w:t>
        </w:r>
      </w:hyperlink>
      <w:r>
        <w:t xml:space="preserve">]</w:t>
      </w:r>
      <w:r>
        <w:t xml:space="preserve"> </w:t>
      </w:r>
      <w:r>
        <w:t xml:space="preserve">change the area of regions on a map depending on the amount of disease-related events, rather than population.</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31</w:t>
        </w:r>
      </w:hyperlink>
      <w:r>
        <w:t xml:space="preserve">]</w:t>
      </w:r>
      <w:r>
        <w:t xml:space="preserve"> </w:t>
      </w:r>
      <w:r>
        <w:t xml:space="preserve">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32</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33</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10</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26</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34</w:t>
        </w:r>
      </w:hyperlink>
      <w:r>
        <w:t xml:space="preserve">]</w:t>
      </w:r>
      <w:r>
        <w:t xml:space="preserve">. Early approaches by John Hunter and Jonathan Young (1968) and Durham’s wooden tile method, Skoda and Robertson’s (1972) steel ball-bearing approach and Tobler’s (1973) computer programs</w:t>
      </w:r>
      <w:r>
        <w:t xml:space="preserve"> </w:t>
      </w:r>
      <w:r>
        <w:t xml:space="preserve">[</w:t>
      </w:r>
      <w:hyperlink w:anchor="ref-ACTUC">
        <w:r>
          <w:rPr>
            <w:rStyle w:val="Hyperlink"/>
          </w:rPr>
          <w:t xml:space="preserve">20</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34</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35</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p>
    <w:p>
      <w:pPr>
        <w:pStyle w:val="CaptionedFigure"/>
      </w:pPr>
      <w:r>
        <w:drawing>
          <wp:inline>
            <wp:extent cx="5334000" cy="4445000"/>
            <wp:effectExtent b="0" l="0" r="0" t="0"/>
            <wp:docPr descr="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title="" id="1" name="Picture"/>
            <a:graphic>
              <a:graphicData uri="http://schemas.openxmlformats.org/drawingml/2006/picture">
                <pic:pic>
                  <pic:nvPicPr>
                    <pic:cNvPr descr="figures/usa_grid.png" id="0" name="Picture"/>
                    <pic:cNvPicPr>
                      <a:picLocks noChangeArrowheads="1" noChangeAspect="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p>
    <w:p>
      <w:pPr>
        <w:pStyle w:val="BodyText"/>
      </w:pPr>
      <w:r>
        <w:t xml:space="preserve">Table 3:</w:t>
      </w:r>
      <w:r>
        <w:t xml:space="preserve"> </w:t>
      </w:r>
      <w:r>
        <w:t xml:space="preserve"> </w:t>
      </w:r>
      <w:r>
        <w:t xml:space="preserve">Maps used to present statistics for the United States of America. The colour of each state communicates the average age-adjusted rate of incidence for lung and bronchus for females and males in the United States 2012-2016.</w:t>
      </w:r>
    </w:p>
    <w:tbl>
      <w:tblPr>
        <w:tblStyle w:val="Table"/>
        <w:tblW w:type="pct" w:w="5000.0"/>
        <w:tblLook w:firstRow="1"/>
      </w:tblPr>
      <w:tblGrid>
        <w:gridCol w:w="2376"/>
        <w:gridCol w:w="5544"/>
      </w:tblGrid>
      <w:tr>
        <w:trPr>
          <w:cnfStyle w:firstRow="1"/>
        </w:trPr>
        <w:tc>
          <w:tcPr>
            <w:tcBorders>
              <w:bottom w:val="single"/>
            </w:tcBorders>
            <w:vAlign w:val="bottom"/>
          </w:tcPr>
          <w:p>
            <w:pPr>
              <w:pStyle w:val="Compact"/>
              <w:jc w:val="left"/>
            </w:pPr>
            <w:r>
              <w:t xml:space="preserve">Map display</w:t>
            </w:r>
          </w:p>
        </w:tc>
        <w:tc>
          <w:tcPr>
            <w:tcBorders>
              <w:bottom w:val="single"/>
            </w:tcBorders>
            <w:vAlign w:val="bottom"/>
          </w:tcPr>
          <w:p>
            <w:pPr>
              <w:pStyle w:val="Compact"/>
              <w:jc w:val="left"/>
            </w:pPr>
            <w:r>
              <w:t xml:space="preserve">Details</w:t>
            </w:r>
          </w:p>
        </w:tc>
      </w:tr>
      <w:tr>
        <w:tc>
          <w:p>
            <w:pPr>
              <w:pStyle w:val="Compact"/>
              <w:jc w:val="left"/>
            </w:pPr>
            <w:r>
              <w:t xml:space="preserve">a. Contiguous</w:t>
            </w:r>
          </w:p>
        </w:tc>
        <w:tc>
          <w:p>
            <w:pPr>
              <w:pStyle w:val="Compact"/>
              <w:jc w:val="lef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tc>
          <w:p>
            <w:pPr>
              <w:pStyle w:val="Compact"/>
              <w:jc w:val="left"/>
            </w:pPr>
            <w:r>
              <w:t xml:space="preserve">b. Non-contiguous</w:t>
            </w:r>
          </w:p>
        </w:tc>
        <w:tc>
          <w:p>
            <w:pPr>
              <w:pStyle w:val="Compact"/>
              <w:jc w:val="lef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tc>
          <w:p>
            <w:pPr>
              <w:pStyle w:val="Compact"/>
              <w:jc w:val="left"/>
            </w:pPr>
            <w:r>
              <w:t xml:space="preserve">c. Dorling</w:t>
            </w:r>
          </w:p>
        </w:tc>
        <w:tc>
          <w:p>
            <w:pPr>
              <w:pStyle w:val="Compact"/>
              <w:jc w:val="left"/>
            </w:pPr>
            <w:r>
              <w:t xml:space="preserve">Circles are used to represent each state, but the population of the state determines the size in 2015. The North-East states remain closer to their neighbors and are slightly displaced from their geographic location. It highlights the sparsity of the population in the Mid West by the distance between the circles at the geographic centroids.</w:t>
            </w:r>
          </w:p>
        </w:tc>
      </w:tr>
      <w:tr>
        <w:tc>
          <w:p>
            <w:pPr>
              <w:pStyle w:val="Compact"/>
              <w:jc w:val="left"/>
            </w:pPr>
            <w:r>
              <w:t xml:space="preserve">d. Hexagon Tessellation</w:t>
            </w:r>
          </w:p>
        </w:tc>
        <w:tc>
          <w:p>
            <w:pPr>
              <w:pStyle w:val="Compact"/>
              <w:jc w:val="left"/>
            </w:pPr>
            <w:r>
              <w:t xml:space="preserve">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pPr>
        <w:pStyle w:val="BodyText"/>
      </w:pPr>
      <w:r>
        <w:t xml:space="preserve">Figure 2</w:t>
      </w:r>
      <w:r>
        <w:t xml:space="preserve"> </w:t>
      </w:r>
      <w:r>
        <w:t xml:space="preserve">shows four different cartograms for the same data. The information in Table 3</w:t>
      </w:r>
      <w:r>
        <w:t xml:space="preserve"> </w:t>
      </w:r>
      <w:r>
        <w:t xml:space="preserve">summarizes what can be observed in the four types of cartograms.</w:t>
      </w:r>
    </w:p>
    <w:p>
      <w:pPr>
        <w:pStyle w:val="Heading3"/>
      </w:pPr>
      <w:bookmarkStart w:id="38" w:name="contiguous"/>
      <w:r>
        <w:t xml:space="preserve">Contiguous</w:t>
      </w:r>
      <w:bookmarkEnd w:id="38"/>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14</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32</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 In contrast, Figure 3</w:t>
      </w:r>
      <w:r>
        <w:t xml:space="preserve"> </w:t>
      </w:r>
      <w:r>
        <w:t xml:space="preserve">a shows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28</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32</w:t>
        </w:r>
      </w:hyperlink>
      <w:r>
        <w:t xml:space="preserve">]</w:t>
      </w:r>
      <w:r>
        <w:t xml:space="preserve"> </w:t>
      </w:r>
      <w:r>
        <w:t xml:space="preserve">present this issue as conflicting tasks or aims, to adjust region sizes and retain region shapes.</w:t>
      </w:r>
    </w:p>
    <w:p>
      <w:pPr>
        <w:pStyle w:val="Heading3"/>
      </w:pPr>
      <w:bookmarkStart w:id="39" w:name="non-contiguous"/>
      <w:r>
        <w:t xml:space="preserve">Non-contiguous</w:t>
      </w:r>
      <w:bookmarkEnd w:id="39"/>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28</w:t>
        </w:r>
      </w:hyperlink>
      <w:r>
        <w:t xml:space="preserve">]</w:t>
      </w:r>
      <w:r>
        <w:t xml:space="preserve"> </w:t>
      </w:r>
      <w:r>
        <w:t xml:space="preserve">discusses the creation of these maps and the significance of the empty areas left between the geographic boundaries and the new shape.</w:t>
      </w:r>
    </w:p>
    <w:p>
      <w:pPr>
        <w:pStyle w:val="BodyText"/>
      </w:pPr>
      <w:r>
        <w:t xml:space="preserve">The white space presents the meaningful empty-space property</w:t>
      </w:r>
      <w:r>
        <w:t xml:space="preserve"> </w:t>
      </w:r>
      <w:r>
        <w:t xml:space="preserve">[</w:t>
      </w:r>
      <w:hyperlink w:anchor="ref-ECGC">
        <w:r>
          <w:rPr>
            <w:rStyle w:val="Hyperlink"/>
          </w:rPr>
          <w:t xml:space="preserve">36</w:t>
        </w:r>
      </w:hyperlink>
      <w:r>
        <w:t xml:space="preserve">]</w:t>
      </w:r>
      <w:r>
        <w:t xml:space="preserve"> </w:t>
      </w:r>
      <w:r>
        <w:t xml:space="preserve">[</w:t>
      </w:r>
      <w:hyperlink w:anchor="ref-NAC">
        <w:r>
          <w:rPr>
            <w:rStyle w:val="Hyperlink"/>
          </w:rPr>
          <w:t xml:space="preserve">28</w:t>
        </w:r>
      </w:hyperlink>
      <w:r>
        <w:t xml:space="preserve">]</w:t>
      </w:r>
      <w:r>
        <w:t xml:space="preserve"> </w:t>
      </w:r>
      <w:r>
        <w:t xml:space="preserve">but it also distracts the reader from the data, with a low data density</w:t>
      </w:r>
      <w:r>
        <w:t xml:space="preserve"> </w:t>
      </w:r>
      <w:r>
        <w:t xml:space="preserve">[</w:t>
      </w:r>
      <w:hyperlink w:anchor="ref-TVDQI">
        <w:r>
          <w:rPr>
            <w:rStyle w:val="Hyperlink"/>
          </w:rPr>
          <w:t xml:space="preserve">37</w:t>
        </w:r>
      </w:hyperlink>
      <w:r>
        <w:t xml:space="preserve">]</w:t>
      </w:r>
      <w:r>
        <w:t xml:space="preserve">.</w:t>
      </w:r>
    </w:p>
    <w:p>
      <w:pPr>
        <w:pStyle w:val="Heading3"/>
      </w:pPr>
      <w:bookmarkStart w:id="40" w:name="dorling"/>
      <w:r>
        <w:t xml:space="preserve">Dorling</w:t>
      </w:r>
      <w:bookmarkEnd w:id="40"/>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answers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33</w:t>
        </w:r>
      </w:hyperlink>
      <w:r>
        <w:t xml:space="preserve">]</w:t>
      </w:r>
      <w:r>
        <w:t xml:space="preserve">. Both methods applies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38</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39</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40</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41</w:t>
        </w:r>
      </w:hyperlink>
      <w:r>
        <w:t xml:space="preserve">]</w:t>
      </w:r>
      <w:r>
        <w:t xml:space="preserve">.</w:t>
      </w:r>
    </w:p>
    <w:p>
      <w:pPr>
        <w:pStyle w:val="Heading3"/>
      </w:pPr>
      <w:bookmarkStart w:id="41" w:name="tile-map"/>
      <w:r>
        <w:t xml:space="preserve">Tile Map</w:t>
      </w:r>
      <w:bookmarkEnd w:id="41"/>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42</w:t>
        </w:r>
      </w:hyperlink>
      <w:r>
        <w:t xml:space="preserve">]</w:t>
      </w:r>
      <w:r>
        <w:t xml:space="preserve">,</w:t>
      </w:r>
      <w:r>
        <w:t xml:space="preserve"> </w:t>
      </w:r>
      <w:r>
        <w:t xml:space="preserve">[</w:t>
      </w:r>
      <w:hyperlink w:anchor="ref-FiveThirtyEight">
        <w:r>
          <w:rPr>
            <w:rStyle w:val="Hyperlink"/>
          </w:rPr>
          <w:t xml:space="preserve">43</w:t>
        </w:r>
      </w:hyperlink>
      <w:r>
        <w:t xml:space="preserve">]</w:t>
      </w:r>
      <w:r>
        <w:t xml:space="preserve">,</w:t>
      </w:r>
      <w:r>
        <w:t xml:space="preserve"> </w:t>
      </w:r>
      <w:r>
        <w:t xml:space="preserve">[</w:t>
      </w:r>
      <w:hyperlink w:anchor="ref-WSJ">
        <w:r>
          <w:rPr>
            <w:rStyle w:val="Hyperlink"/>
          </w:rPr>
          <w:t xml:space="preserve">44</w:t>
        </w:r>
      </w:hyperlink>
      <w:r>
        <w:t xml:space="preserve">]</w:t>
      </w:r>
      <w:r>
        <w:t xml:space="preserve">,</w:t>
      </w:r>
      <w:r>
        <w:t xml:space="preserve"> </w:t>
      </w:r>
      <w:r>
        <w:t xml:space="preserve">[</w:t>
      </w:r>
      <w:hyperlink w:anchor="ref-WP">
        <w:r>
          <w:rPr>
            <w:rStyle w:val="Hyperlink"/>
          </w:rPr>
          <w:t xml:space="preserve">45</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46</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2" w:name="geofacet"/>
      <w:r>
        <w:t xml:space="preserve">Geofacet</w:t>
      </w:r>
      <w:bookmarkEnd w:id="42"/>
    </w:p>
    <w:p>
      <w:pPr>
        <w:pStyle w:val="FirstParagraph"/>
      </w:pPr>
      <w:r>
        <w:t xml:space="preserve">Hafen</w:t>
      </w:r>
      <w:r>
        <w:t xml:space="preserve"> </w:t>
      </w:r>
      <w:r>
        <w:t xml:space="preserve">[</w:t>
      </w:r>
      <w:hyperlink w:anchor="ref-IGF">
        <w:r>
          <w:rPr>
            <w:rStyle w:val="Hyperlink"/>
          </w:rPr>
          <w:t xml:space="preserve">47</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4" w:name="multivariate-displays"/>
      <w:r>
        <w:t xml:space="preserve">Multivariate displays</w:t>
      </w:r>
      <w:bookmarkEnd w:id="44"/>
    </w:p>
    <w:p>
      <w:pPr>
        <w:pStyle w:val="FirstParagraph"/>
      </w:pPr>
      <w:r>
        <w:t xml:space="preserve">Pickle and others</w:t>
      </w:r>
      <w:r>
        <w:t xml:space="preserve"> </w:t>
      </w:r>
      <w:r>
        <w:t xml:space="preserve">[</w:t>
      </w:r>
      <w:hyperlink w:anchor="ref-MMST">
        <w:r>
          <w:rPr>
            <w:rStyle w:val="Hyperlink"/>
          </w:rPr>
          <w:t xml:space="preserve">48</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49</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5" w:name="sec:compare"/>
      <w:r>
        <w:t xml:space="preserve">Comparison and critique of alternative displays</w:t>
      </w:r>
      <w:bookmarkEnd w:id="45"/>
    </w:p>
    <w:p>
      <w:pPr>
        <w:pStyle w:val="CaptionedFigure"/>
      </w:pPr>
      <w:r>
        <w:drawing>
          <wp:inline>
            <wp:extent cx="5334000" cy="4000500"/>
            <wp:effectExtent b="0" l="0" r="0" t="0"/>
            <wp:docPr descr="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7" w:name="Xf1a7da8e19c8d80cf4bcc7c974f47d834de4590"/>
      <w:r>
        <w:t xml:space="preserve">Performance of choropleth maps or cartograms for Australia</w:t>
      </w:r>
      <w:bookmarkEnd w:id="47"/>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 It has not fully resolved the population transformation of areas, and if it had accurately sized areas by population, the country would be unrecognizable.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too much white-space in the outback areas.</w:t>
      </w:r>
    </w:p>
    <w:p>
      <w:pPr>
        <w:pStyle w:val="Heading2"/>
      </w:pPr>
      <w:bookmarkStart w:id="48" w:name="limitations-of-alternative-displays"/>
      <w:r>
        <w:t xml:space="preserve">Limitations of alternative displays</w:t>
      </w:r>
      <w:bookmarkEnd w:id="48"/>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32</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has a cartogram showing the 1966 general election results, which looked very little like the geographical shape of Australia.</w:t>
      </w:r>
    </w:p>
    <w:p>
      <w:pPr>
        <w:pStyle w:val="BodyText"/>
      </w:pPr>
      <w:r>
        <w:t xml:space="preserve">Some mix of tiling, faceting or even micromaps, which allow some spatial continuity while also zooming into small areas, are good solutions for difficult geographies. Table 3</w:t>
      </w:r>
      <w:r>
        <w:t xml:space="preserve"> </w:t>
      </w:r>
      <w:r>
        <w:t xml:space="preserve"> </w:t>
      </w:r>
      <w:r>
        <w:t xml:space="preserve">summarizes the key criteria for testing maps and alternative displays. Moore and Carpenter</w:t>
      </w:r>
      <w:r>
        <w:t xml:space="preserve"> </w:t>
      </w:r>
      <w:r>
        <w:t xml:space="preserve">[</w:t>
      </w:r>
      <w:hyperlink w:anchor="ref-SAMGIS">
        <w:r>
          <w:rPr>
            <w:rStyle w:val="Hyperlink"/>
          </w:rPr>
          <w:t xml:space="preserve">7</w:t>
        </w:r>
      </w:hyperlink>
      <w:r>
        <w:t xml:space="preserve">]</w:t>
      </w:r>
      <w:r>
        <w:t xml:space="preserve"> </w:t>
      </w:r>
      <w:r>
        <w:t xml:space="preserve">and Bell et al. </w:t>
      </w:r>
      <w:r>
        <w:t xml:space="preserve">[</w:t>
      </w:r>
      <w:hyperlink w:anchor="ref-CPISACA">
        <w:r>
          <w:rPr>
            <w:rStyle w:val="Hyperlink"/>
          </w:rPr>
          <w:t xml:space="preserve">11</w:t>
        </w:r>
      </w:hyperlink>
      <w:r>
        <w:t xml:space="preserve">]</w:t>
      </w:r>
      <w:r>
        <w:t xml:space="preserve"> </w:t>
      </w:r>
      <w:r>
        <w:t xml:space="preserve">provide suggestions and comments to help map creators best communicate their health data and spatial analysis.</w:t>
      </w:r>
    </w:p>
    <w:p>
      <w:pPr>
        <w:pStyle w:val="BodyText"/>
      </w:pPr>
      <w:r>
        <w:t xml:space="preserve">Table 4:</w:t>
      </w:r>
      <w:r>
        <w:t xml:space="preserve"> </w:t>
      </w:r>
      <w:r>
        <w:t xml:space="preserve"> </w:t>
      </w:r>
      <w:r>
        <w:t xml:space="preserve">Summary of features and constraints of common mapping methods used to display cancer statistics (Y=Yes, N=No, S=Sometimes).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w:t>
            </w:r>
            <w:r>
              <w:t xml:space="preserve"> </w:t>
            </w:r>
            <w:r>
              <w:t xml:space="preserve">distortion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Preserves</w:t>
            </w:r>
            <w:r>
              <w:t xml:space="preserve"> </w:t>
            </w:r>
            <w:r>
              <w:t xml:space="preserve">neighbors</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S</w:t>
            </w:r>
          </w:p>
        </w:tc>
      </w:tr>
      <w:tr>
        <w:tc>
          <w:p>
            <w:pPr>
              <w:pStyle w:val="Compact"/>
              <w:jc w:val="left"/>
            </w:pPr>
            <w:r>
              <w:t xml:space="preserve">Conceals</w:t>
            </w:r>
            <w:r>
              <w:t xml:space="preserve"> </w:t>
            </w:r>
            <w:r>
              <w:t xml:space="preserve">small areas</w:t>
            </w:r>
          </w:p>
        </w:tc>
        <w:tc>
          <w:p>
            <w:pPr>
              <w:pStyle w:val="Compact"/>
              <w:jc w:val="center"/>
            </w:pPr>
            <w:r>
              <w:t xml:space="preserve">Y</w:t>
            </w:r>
          </w:p>
        </w:tc>
        <w:tc>
          <w:p>
            <w:pPr>
              <w:pStyle w:val="Compact"/>
              <w:jc w:val="center"/>
            </w:pPr>
            <w:r>
              <w:t xml:space="preserv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r>
      <w:tr>
        <w:tc>
          <w:p>
            <w:pPr>
              <w:pStyle w:val="Compact"/>
              <w:jc w:val="left"/>
            </w:pPr>
            <w:r>
              <w:t xml:space="preserve">Uniform</w:t>
            </w:r>
            <w:r>
              <w:t xml:space="preserve"> </w:t>
            </w:r>
            <w:r>
              <w:t xml:space="preserve">shapes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Univariate</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N</w:t>
            </w:r>
          </w:p>
        </w:tc>
      </w:tr>
      <w:tr>
        <w:tc>
          <w:p>
            <w:pPr>
              <w:pStyle w:val="Compact"/>
              <w:jc w:val="left"/>
            </w:pPr>
            <w:r>
              <w:t xml:space="preserve">Manual</w:t>
            </w:r>
            <w:r>
              <w:t xml:space="preserve"> </w:t>
            </w:r>
            <w:r>
              <w:t xml:space="preserve">construction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r>
    </w:tbl>
    <w:p>
      <w:pPr>
        <w:pStyle w:val="Heading2"/>
      </w:pPr>
      <w:bookmarkStart w:id="49" w:name="additional-considerations"/>
      <w:r>
        <w:t xml:space="preserve">Additional considerations</w:t>
      </w:r>
      <w:bookmarkEnd w:id="49"/>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11</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50</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51</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14</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14</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30</w:t>
        </w:r>
      </w:hyperlink>
      <w:r>
        <w:t xml:space="preserve">]</w:t>
      </w:r>
      <w:r>
        <w:t xml:space="preserve"> </w:t>
      </w:r>
      <w:r>
        <w:t xml:space="preserve">are two common solutions.</w:t>
      </w:r>
    </w:p>
    <w:p>
      <w:pPr>
        <w:pStyle w:val="Heading1"/>
      </w:pPr>
      <w:bookmarkStart w:id="50" w:name="ch:interacting"/>
      <w:r>
        <w:t xml:space="preserve">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52</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53</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54</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31</w:t>
        </w:r>
      </w:hyperlink>
      <w:r>
        <w:t xml:space="preserve">]</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55</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56</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58</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59</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31</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60</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61</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60</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11</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62</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CaptionedFigure"/>
      </w:pPr>
      <w:r>
        <w:drawing>
          <wp:inline>
            <wp:extent cx="5334000" cy="4000500"/>
            <wp:effectExtent b="0" l="0" r="0" t="0"/>
            <wp:docPr descr="Interactive controls of displays in publicly available choropleth cancer maps: (i) GUI controls for statistic, sex, age groups, continents, and cancer types for Globocan 2018 [5],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5</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4" w:name="conclusions"/>
      <w:r>
        <w:t xml:space="preserve">Conclusions</w:t>
      </w:r>
      <w:bookmarkEnd w:id="54"/>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5" w:name="acknowledgements"/>
      <w:r>
        <w:t xml:space="preserve">Acknowledgements</w:t>
      </w:r>
      <w:bookmarkEnd w:id="55"/>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63</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64</w:t>
        </w:r>
      </w:hyperlink>
      <w:r>
        <w:t xml:space="preserve">]</w:t>
      </w:r>
      <w:r>
        <w:t xml:space="preserve">, RColorBrewer</w:t>
      </w:r>
      <w:r>
        <w:t xml:space="preserve"> </w:t>
      </w:r>
      <w:r>
        <w:t xml:space="preserve">[</w:t>
      </w:r>
      <w:hyperlink w:anchor="ref-RColorBrewer">
        <w:r>
          <w:rPr>
            <w:rStyle w:val="Hyperlink"/>
          </w:rPr>
          <w:t xml:space="preserve">65</w:t>
        </w:r>
      </w:hyperlink>
      <w:r>
        <w:t xml:space="preserve">]</w:t>
      </w:r>
      <w:r>
        <w:t xml:space="preserve">, ggthemes</w:t>
      </w:r>
      <w:r>
        <w:t xml:space="preserve"> </w:t>
      </w:r>
      <w:r>
        <w:t xml:space="preserve">[</w:t>
      </w:r>
      <w:hyperlink w:anchor="ref-ggthemes">
        <w:r>
          <w:rPr>
            <w:rStyle w:val="Hyperlink"/>
          </w:rPr>
          <w:t xml:space="preserve">66</w:t>
        </w:r>
      </w:hyperlink>
      <w:r>
        <w:t xml:space="preserve">]</w:t>
      </w:r>
      <w:r>
        <w:t xml:space="preserve">, png</w:t>
      </w:r>
      <w:r>
        <w:t xml:space="preserve"> </w:t>
      </w:r>
      <w:r>
        <w:t xml:space="preserve">[</w:t>
      </w:r>
      <w:hyperlink w:anchor="ref-png">
        <w:r>
          <w:rPr>
            <w:rStyle w:val="Hyperlink"/>
          </w:rPr>
          <w:t xml:space="preserve">67</w:t>
        </w:r>
      </w:hyperlink>
      <w:r>
        <w:t xml:space="preserve">]</w:t>
      </w:r>
      <w:r>
        <w:t xml:space="preserve">, cowplot</w:t>
      </w:r>
      <w:r>
        <w:t xml:space="preserve"> </w:t>
      </w:r>
      <w:r>
        <w:t xml:space="preserve">[</w:t>
      </w:r>
      <w:hyperlink w:anchor="ref-cowplot">
        <w:r>
          <w:rPr>
            <w:rStyle w:val="Hyperlink"/>
          </w:rPr>
          <w:t xml:space="preserve">68</w:t>
        </w:r>
      </w:hyperlink>
      <w:r>
        <w:t xml:space="preserve">]</w:t>
      </w:r>
      <w:r>
        <w:t xml:space="preserve">, sf</w:t>
      </w:r>
      <w:r>
        <w:t xml:space="preserve"> </w:t>
      </w:r>
      <w:r>
        <w:t xml:space="preserve">[</w:t>
      </w:r>
      <w:hyperlink w:anchor="ref-sf">
        <w:r>
          <w:rPr>
            <w:rStyle w:val="Hyperlink"/>
          </w:rPr>
          <w:t xml:space="preserve">69</w:t>
        </w:r>
      </w:hyperlink>
      <w:r>
        <w:t xml:space="preserve">]</w:t>
      </w:r>
      <w:r>
        <w:t xml:space="preserve">, spData</w:t>
      </w:r>
      <w:r>
        <w:t xml:space="preserve"> </w:t>
      </w:r>
      <w:r>
        <w:t xml:space="preserve">[</w:t>
      </w:r>
      <w:hyperlink w:anchor="ref-spData">
        <w:r>
          <w:rPr>
            <w:rStyle w:val="Hyperlink"/>
          </w:rPr>
          <w:t xml:space="preserve">70</w:t>
        </w:r>
      </w:hyperlink>
      <w:r>
        <w:t xml:space="preserve">]</w:t>
      </w:r>
      <w:r>
        <w:t xml:space="preserve">, cartogram</w:t>
      </w:r>
      <w:r>
        <w:t xml:space="preserve"> </w:t>
      </w:r>
      <w:r>
        <w:t xml:space="preserve">[</w:t>
      </w:r>
      <w:hyperlink w:anchor="ref-cartogram">
        <w:r>
          <w:rPr>
            <w:rStyle w:val="Hyperlink"/>
          </w:rPr>
          <w:t xml:space="preserve">71</w:t>
        </w:r>
      </w:hyperlink>
      <w:r>
        <w:t xml:space="preserve">]</w:t>
      </w:r>
      <w:r>
        <w:t xml:space="preserve">, sugarbag</w:t>
      </w:r>
      <w:r>
        <w:t xml:space="preserve"> </w:t>
      </w:r>
      <w:r>
        <w:t xml:space="preserve">[</w:t>
      </w:r>
      <w:hyperlink w:anchor="ref-sugarbag">
        <w:r>
          <w:rPr>
            <w:rStyle w:val="Hyperlink"/>
          </w:rPr>
          <w:t xml:space="preserve">72</w:t>
        </w:r>
      </w:hyperlink>
      <w:r>
        <w:t xml:space="preserve">]</w:t>
      </w:r>
      <w:r>
        <w:t xml:space="preserve">, knitr</w:t>
      </w:r>
      <w:r>
        <w:t xml:space="preserve"> </w:t>
      </w:r>
      <w:r>
        <w:t xml:space="preserve">[</w:t>
      </w:r>
      <w:hyperlink w:anchor="ref-knitr">
        <w:r>
          <w:rPr>
            <w:rStyle w:val="Hyperlink"/>
          </w:rPr>
          <w:t xml:space="preserve">73</w:t>
        </w:r>
      </w:hyperlink>
      <w:r>
        <w:t xml:space="preserve">]</w:t>
      </w:r>
      <w:r>
        <w:t xml:space="preserve">, rmarkdown</w:t>
      </w:r>
      <w:r>
        <w:t xml:space="preserve"> </w:t>
      </w:r>
      <w:r>
        <w:t xml:space="preserve">[</w:t>
      </w:r>
      <w:hyperlink w:anchor="ref-rmarkdown">
        <w:r>
          <w:rPr>
            <w:rStyle w:val="Hyperlink"/>
          </w:rPr>
          <w:t xml:space="preserve">74</w:t>
        </w:r>
      </w:hyperlink>
      <w:r>
        <w:t xml:space="preserve">]</w:t>
      </w:r>
      <w:r>
        <w:t xml:space="preserve"> </w:t>
      </w:r>
      <w:r>
        <w:t xml:space="preserve">and absmapsdata</w:t>
      </w:r>
      <w:r>
        <w:t xml:space="preserve"> </w:t>
      </w:r>
      <w:r>
        <w:t xml:space="preserve">[</w:t>
      </w:r>
      <w:hyperlink w:anchor="ref-ABSmaps">
        <w:r>
          <w:rPr>
            <w:rStyle w:val="Hyperlink"/>
          </w:rPr>
          <w:t xml:space="preserve">75</w:t>
        </w:r>
      </w:hyperlink>
      <w:r>
        <w:t xml:space="preserve">]</w:t>
      </w:r>
      <w:r>
        <w:t xml:space="preserve">.</w:t>
      </w:r>
    </w:p>
    <w:p>
      <w:pPr>
        <w:pStyle w:val="BodyText"/>
      </w:pPr>
      <w:r>
        <w:t xml:space="preserve">Files to reproduce the paper, and code to reproduce the plots, are available at</w:t>
      </w:r>
      <w:r>
        <w:t xml:space="preserve"> </w:t>
      </w:r>
      <w:hyperlink r:id="rId56">
        <w:r>
          <w:rPr>
            <w:rStyle w:val="Hyperlink"/>
          </w:rPr>
          <w:t xml:space="preserve">https://github.com/srkobakian/review</w:t>
        </w:r>
      </w:hyperlink>
      <w:r>
        <w:t xml:space="preserve">.</w:t>
      </w:r>
    </w:p>
    <w:p>
      <w:pPr>
        <w:pStyle w:val="Heading1"/>
      </w:pPr>
      <w:bookmarkStart w:id="57" w:name="references"/>
      <w:r>
        <w:t xml:space="preserve">References</w:t>
      </w:r>
      <w:bookmarkEnd w:id="57"/>
    </w:p>
    <w:bookmarkStart w:id="158" w:name="refs"/>
    <w:bookmarkStart w:id="58"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8"/>
    <w:bookmarkStart w:id="59" w:name="ref-burbank"/>
    <w:p>
      <w:pPr>
        <w:pStyle w:val="Bibliography"/>
      </w:pPr>
      <w:r>
        <w:t xml:space="preserve">2. Burbank F (1971) Patterns in Cancer Mortality in the United States 1950-67. National Cancer Institute Monograph Vol. 33, NCI, Washington DC</w:t>
      </w:r>
    </w:p>
    <w:bookmarkEnd w:id="59"/>
    <w:bookmarkStart w:id="60" w:name="ref-SE"/>
    <w:p>
      <w:pPr>
        <w:pStyle w:val="Bibliography"/>
      </w:pPr>
      <w:r>
        <w:t xml:space="preserve">3. Exeter DJ (2016) Spatial Epidemiology. International Encyclopedia of Geography: People, the Earth, Environment and Technology: People, the Earth, Environment and Technology 1–4</w:t>
      </w:r>
    </w:p>
    <w:bookmarkEnd w:id="60"/>
    <w:bookmarkStart w:id="61" w:name="ref-HEDP"/>
    <w:p>
      <w:pPr>
        <w:pStyle w:val="Bibliography"/>
      </w:pPr>
      <w:r>
        <w:t xml:space="preserve">4. Howe G (1989) Historical Evolution of Disease Mapping in General and Specifically of Cancer Mapping. In: Cancer mapping. Springer, pp 1–21</w:t>
      </w:r>
    </w:p>
    <w:bookmarkEnd w:id="61"/>
    <w:bookmarkStart w:id="62" w:name="ref-Globocan"/>
    <w:p>
      <w:pPr>
        <w:pStyle w:val="Bibliography"/>
      </w:pPr>
      <w:r>
        <w:t xml:space="preserve">5. Bray F, Ferlay J, Soerjomataram I, Siegel RL, Torre LA, Jemal A (2018) Global cancer statistics 2018: GLOBOCAN estimates of incidence and mortality worldwide for 36 cancers in 185 countries. CA: A Cancer Journal for Clinicians 68:394–424</w:t>
      </w:r>
    </w:p>
    <w:bookmarkEnd w:id="62"/>
    <w:bookmarkStart w:id="64" w:name="ref-EnvEnglandWales2"/>
    <w:p>
      <w:pPr>
        <w:pStyle w:val="Bibliography"/>
      </w:pPr>
      <w:r>
        <w:t xml:space="preserve">6. Emperial College London - Small Area Health Statistics Unit (2010) The environmental and health atlas of england and wales: National male lung cancer rate.</w:t>
      </w:r>
      <w:r>
        <w:t xml:space="preserve"> </w:t>
      </w:r>
      <w:hyperlink r:id="rId63">
        <w:r>
          <w:rPr>
            <w:rStyle w:val="Hyperlink"/>
          </w:rPr>
          <w:t xml:space="preserve">http://www.envhealthatlas.co.uk/eha/Breast/</w:t>
        </w:r>
      </w:hyperlink>
      <w:r>
        <w:t xml:space="preserve">. Accessed 26 Sep 2019</w:t>
      </w:r>
    </w:p>
    <w:bookmarkEnd w:id="64"/>
    <w:bookmarkStart w:id="65" w:name="ref-SAMGIS"/>
    <w:p>
      <w:pPr>
        <w:pStyle w:val="Bibliography"/>
      </w:pPr>
      <w:r>
        <w:t xml:space="preserve">7. Moore DA, Carpenter TE (1999) Spatial Analytical Methods and Geographic Information Systems: Use in Health Research and Epidemiology. Epidemiologic Reviews 21:143–161</w:t>
      </w:r>
    </w:p>
    <w:bookmarkEnd w:id="65"/>
    <w:bookmarkStart w:id="66" w:name="ref-EI"/>
    <w:p>
      <w:pPr>
        <w:pStyle w:val="Bibliography"/>
      </w:pPr>
      <w:r>
        <w:t xml:space="preserve">8. Tufte ER (1990) Envisioning Information. Graphics Press</w:t>
      </w:r>
    </w:p>
    <w:bookmarkEnd w:id="66"/>
    <w:bookmarkStart w:id="68" w:name="ref-BCM"/>
    <w:p>
      <w:pPr>
        <w:pStyle w:val="Bibliography"/>
      </w:pPr>
      <w:r>
        <w:t xml:space="preserve">9. Skowronnek A (2016) Beyond Choropleth Maps – A Review of Techniques to Visualize Quantitative Areal Geodata. In: Infovis Reading Group WS 2015/16.</w:t>
      </w:r>
      <w:r>
        <w:t xml:space="preserve"> </w:t>
      </w:r>
      <w:hyperlink r:id="rId67">
        <w:r>
          <w:rPr>
            <w:rStyle w:val="Hyperlink"/>
          </w:rPr>
          <w:t xml:space="preserve">https://alsino.io/static/papers/BeyondChoropleths_AlsinoSkowronnek.pdf</w:t>
        </w:r>
      </w:hyperlink>
      <w:r>
        <w:t xml:space="preserve">.</w:t>
      </w:r>
      <w:r>
        <w:t xml:space="preserve"> </w:t>
      </w:r>
    </w:p>
    <w:bookmarkEnd w:id="68"/>
    <w:bookmarkStart w:id="70" w:name="ref-DMAHP"/>
    <w:p>
      <w:pPr>
        <w:pStyle w:val="Bibliography"/>
      </w:pPr>
      <w:r>
        <w:t xml:space="preserve">10. Walter SD (2001) Disease Mapping: A Historical Perspective.</w:t>
      </w:r>
      <w:r>
        <w:t xml:space="preserve"> </w:t>
      </w:r>
      <w:hyperlink r:id="rId69">
        <w:r>
          <w:rPr>
            <w:rStyle w:val="Hyperlink"/>
          </w:rPr>
          <w:t xml:space="preserve">https://doi.org/https://dx.doi.org/10.1093/acprof:oso/9780198515326.003.0012</w:t>
        </w:r>
      </w:hyperlink>
    </w:p>
    <w:bookmarkEnd w:id="70"/>
    <w:bookmarkStart w:id="71" w:name="ref-CPISACA"/>
    <w:p>
      <w:pPr>
        <w:pStyle w:val="Bibliography"/>
      </w:pPr>
      <w:r>
        <w:t xml:space="preserve">11. Bell BS, Hoskins RE, Pickle LW, Wartenberg D (2006) Current Practices in Spatial Analysis of Cancer Data: Mapping Health Statistics to Inform Policymakers and the Public. International Journal of Health Geographics 5:49</w:t>
      </w:r>
    </w:p>
    <w:bookmarkEnd w:id="71"/>
    <w:bookmarkStart w:id="72" w:name="ref-CIBMUK"/>
    <w:p>
      <w:pPr>
        <w:pStyle w:val="Bibliography"/>
      </w:pPr>
      <w:r>
        <w:t xml:space="preserve">12. Brewster MB, Subramanian SV Cartographic Insights into the Burden of Mortality in the United Kingdom: A Review of “The Grim Reaper’s Road Map”. International Journal of Epidemiology 39:1120–1122</w:t>
      </w:r>
    </w:p>
    <w:bookmarkEnd w:id="72"/>
    <w:bookmarkStart w:id="73" w:name="ref-QLDcancerAtlas"/>
    <w:p>
      <w:pPr>
        <w:pStyle w:val="Bibliography"/>
      </w:pPr>
      <w:r>
        <w:t xml:space="preserve">13. Cramb SM and Mengersen KL and Baade PD (2011) Atlas of Cancer in Queensland: geographical variation in incidence and survival, 1998 to 2007.</w:t>
      </w:r>
      <w:r>
        <w:t xml:space="preserve"> </w:t>
      </w:r>
    </w:p>
    <w:bookmarkEnd w:id="73"/>
    <w:bookmarkStart w:id="74" w:name="ref-ACA"/>
    <w:p>
      <w:pPr>
        <w:pStyle w:val="Bibliography"/>
      </w:pPr>
      <w:r>
        <w:t xml:space="preserve">14. Min Ouyang, Revesz P (2000) Algorithms for Cartogram Animation. In: Proceedings 2000 International Database Engineering and Applications Symposium (Cat. No.PR00789). pp 231–235</w:t>
      </w:r>
    </w:p>
    <w:bookmarkEnd w:id="74"/>
    <w:bookmarkStart w:id="76" w:name="ref-cancerSpain"/>
    <w:p>
      <w:pPr>
        <w:pStyle w:val="Bibliography"/>
      </w:pPr>
      <w:r>
        <w:t xml:space="preserve">15. El Pais (2014) Map of Cancer Mortality Rates in Spain.</w:t>
      </w:r>
      <w:r>
        <w:t xml:space="preserve"> </w:t>
      </w:r>
      <w:hyperlink r:id="rId75">
        <w:r>
          <w:rPr>
            <w:rStyle w:val="Hyperlink"/>
          </w:rPr>
          <w:t xml:space="preserve">http://elpais.com/elpais/2014/10/06/media/1412612722_141933.html</w:t>
        </w:r>
      </w:hyperlink>
      <w:r>
        <w:t xml:space="preserve">. Accessed 26 Sep 2019</w:t>
      </w:r>
    </w:p>
    <w:bookmarkEnd w:id="76"/>
    <w:bookmarkStart w:id="78" w:name="ref-OntarioPediatric"/>
    <w:p>
      <w:pPr>
        <w:pStyle w:val="Bibliography"/>
      </w:pPr>
      <w:r>
        <w:t xml:space="preserve">16. Pediatric Oncology Group of Ontario (2015) Incidence Rate of Childhood Cancers, Atlas of Childhood Cancer in Ontario (1985-2004).</w:t>
      </w:r>
      <w:r>
        <w:t xml:space="preserve"> </w:t>
      </w:r>
      <w:hyperlink r:id="rId77">
        <w:r>
          <w:rPr>
            <w:rStyle w:val="Hyperlink"/>
          </w:rPr>
          <w:t xml:space="preserve">https://www.pogo.ca/wp-content/uploads/2015/02/POGO_CC-Atlas-3-Incidence_Feb-2015.pdf</w:t>
        </w:r>
      </w:hyperlink>
      <w:r>
        <w:t xml:space="preserve">. Accessed 26 Sep 2019</w:t>
      </w:r>
    </w:p>
    <w:bookmarkEnd w:id="78"/>
    <w:bookmarkStart w:id="80" w:name="ref-roberts2019communication"/>
    <w:p>
      <w:pPr>
        <w:pStyle w:val="Bibliography"/>
      </w:pPr>
      <w:r>
        <w:t xml:space="preserve">17. Roberts J (2019) Communication of Statistical Uncertainty to Non-expert Audiences.</w:t>
      </w:r>
      <w:r>
        <w:t xml:space="preserve"> </w:t>
      </w:r>
      <w:hyperlink r:id="rId79">
        <w:r>
          <w:rPr>
            <w:rStyle w:val="Hyperlink"/>
          </w:rPr>
          <w:t xml:space="preserve">https://doi.org/10.5204/thesis.eprints.130786</w:t>
        </w:r>
      </w:hyperlink>
    </w:p>
    <w:bookmarkEnd w:id="80"/>
    <w:bookmarkStart w:id="82"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1">
        <w:r>
          <w:rPr>
            <w:rStyle w:val="Hyperlink"/>
          </w:rPr>
          <w:t xml:space="preserve">http://www.cdc.gov/cancer/dataviz</w:t>
        </w:r>
      </w:hyperlink>
      <w:r>
        <w:t xml:space="preserve">. Accessed 26 Sep 2019</w:t>
      </w:r>
    </w:p>
    <w:bookmarkEnd w:id="82"/>
    <w:bookmarkStart w:id="84" w:name="ref-abs2016"/>
    <w:p>
      <w:pPr>
        <w:pStyle w:val="Bibliography"/>
      </w:pPr>
      <w:r>
        <w:t xml:space="preserve">19. Statistics AB of (2018)</w:t>
      </w:r>
      <w:hyperlink r:id="rId83">
        <w:r>
          <w:rPr>
            <w:rStyle w:val="Hyperlink"/>
          </w:rPr>
          <w:t xml:space="preserve">https://www.abs.gov.au/websitedbs/D3310114.nsf/home/Australian+Statistical+Geography+Standard+(ASGS)</w:t>
        </w:r>
      </w:hyperlink>
      <w:r>
        <w:t xml:space="preserve">.</w:t>
      </w:r>
      <w:r>
        <w:t xml:space="preserve"> </w:t>
      </w:r>
    </w:p>
    <w:bookmarkEnd w:id="84"/>
    <w:bookmarkStart w:id="85" w:name="ref-ACTUC"/>
    <w:p>
      <w:pPr>
        <w:pStyle w:val="Bibliography"/>
      </w:pPr>
      <w:r>
        <w:t xml:space="preserve">20. Dorling D (2011) Area Cartograms: Their Use and Creation. In: Concepts and techniques in modern geography (catmog). pp 252–260</w:t>
      </w:r>
    </w:p>
    <w:bookmarkEnd w:id="85"/>
    <w:bookmarkStart w:id="86" w:name="ref-CB"/>
    <w:p>
      <w:pPr>
        <w:pStyle w:val="Bibliography"/>
      </w:pPr>
      <w:r>
        <w:t xml:space="preserve">21. Harrower M, Brewer CA (2003) ColorBrewer.org: An Online Tool for Selecting Colour Schemes for Maps. The Cartographic Journal 40:27–37</w:t>
      </w:r>
    </w:p>
    <w:bookmarkEnd w:id="86"/>
    <w:bookmarkStart w:id="88" w:name="ref-viridis"/>
    <w:p>
      <w:pPr>
        <w:pStyle w:val="Bibliography"/>
      </w:pPr>
      <w:r>
        <w:t xml:space="preserve">22. van der Walt, S. and Smith, N (2015) mpl colormaps.</w:t>
      </w:r>
      <w:r>
        <w:t xml:space="preserve"> </w:t>
      </w:r>
      <w:hyperlink r:id="rId87">
        <w:r>
          <w:rPr>
            <w:rStyle w:val="Hyperlink"/>
          </w:rPr>
          <w:t xml:space="preserve">https://bids.github.io/colormap/</w:t>
        </w:r>
      </w:hyperlink>
      <w:r>
        <w:t xml:space="preserve">.</w:t>
      </w:r>
      <w:r>
        <w:t xml:space="preserve"> </w:t>
      </w:r>
    </w:p>
    <w:bookmarkEnd w:id="88"/>
    <w:bookmarkStart w:id="90" w:name="ref-PUCS"/>
    <w:p>
      <w:pPr>
        <w:pStyle w:val="Bibliography"/>
      </w:pPr>
      <w:r>
        <w:t xml:space="preserve">23. Madsen R (2019) Programming Design Systems.</w:t>
      </w:r>
      <w:r>
        <w:t xml:space="preserve"> </w:t>
      </w:r>
      <w:hyperlink r:id="rId89">
        <w:r>
          <w:rPr>
            <w:rStyle w:val="Hyperlink"/>
          </w:rPr>
          <w:t xml:space="preserve">https://programmingdesignsystems.com/</w:t>
        </w:r>
      </w:hyperlink>
      <w:r>
        <w:t xml:space="preserve">.</w:t>
      </w:r>
      <w:r>
        <w:t xml:space="preserve"> </w:t>
      </w:r>
    </w:p>
    <w:bookmarkEnd w:id="90"/>
    <w:bookmarkStart w:id="92" w:name="ref-DCS"/>
    <w:p>
      <w:pPr>
        <w:pStyle w:val="Bibliography"/>
      </w:pPr>
      <w:r>
        <w:t xml:space="preserve">24. Brewer, C (2020) Diverging Color Schemes.</w:t>
      </w:r>
      <w:r>
        <w:t xml:space="preserve"> </w:t>
      </w:r>
      <w:hyperlink r:id="rId91">
        <w:r>
          <w:rPr>
            <w:rStyle w:val="Hyperlink"/>
          </w:rPr>
          <w:t xml:space="preserve">http://www.personal.psu.edu/cab38/ColorSch/SchHTMLs/CBColorDiv.html</w:t>
        </w:r>
      </w:hyperlink>
      <w:r>
        <w:t xml:space="preserve">.</w:t>
      </w:r>
      <w:r>
        <w:t xml:space="preserve"> </w:t>
      </w:r>
    </w:p>
    <w:bookmarkEnd w:id="92"/>
    <w:bookmarkStart w:id="93" w:name="ref-ACCAC"/>
    <w:p>
      <w:pPr>
        <w:pStyle w:val="Bibliography"/>
      </w:pPr>
      <w:r>
        <w:t xml:space="preserve">25. Dougenik JA, Chrisman NR, Niemeyer DR (1985) An Algorithm to Construct Continuous Area Cartograms. The Professional Geographer 37:75–81</w:t>
      </w:r>
    </w:p>
    <w:bookmarkEnd w:id="93"/>
    <w:bookmarkStart w:id="94" w:name="ref-CTTMB"/>
    <w:p>
      <w:pPr>
        <w:pStyle w:val="Bibliography"/>
      </w:pPr>
      <w:r>
        <w:t xml:space="preserve">26. Griffin TL (1980) Cartographic Transformation of the Thematic Map Base. Cartography 11:163–174</w:t>
      </w:r>
    </w:p>
    <w:bookmarkEnd w:id="94"/>
    <w:bookmarkStart w:id="95" w:name="ref-GOINO"/>
    <w:p>
      <w:pPr>
        <w:pStyle w:val="Bibliography"/>
      </w:pPr>
      <w:r>
        <w:t xml:space="preserve">27. Berry BJL, Morrill RL, Tobler WR (1964) Geographic Ordering of Information: New Opportunities. The Professional Geographer 16:39–44</w:t>
      </w:r>
    </w:p>
    <w:bookmarkEnd w:id="95"/>
    <w:bookmarkStart w:id="96" w:name="ref-NAC"/>
    <w:p>
      <w:pPr>
        <w:pStyle w:val="Bibliography"/>
      </w:pPr>
      <w:r>
        <w:t xml:space="preserve">28. Olson JM (1976) Noncontiguous Area Cartograms. The Professional Geographer 28:371–380</w:t>
      </w:r>
    </w:p>
    <w:bookmarkEnd w:id="96"/>
    <w:bookmarkStart w:id="97" w:name="ref-TAAM"/>
    <w:p>
      <w:pPr>
        <w:pStyle w:val="Bibliography"/>
      </w:pPr>
      <w:r>
        <w:t xml:space="preserve">29. Levison ME, Haddon Jr W (1965) The Area Adjusted Map. An Epidemiologic Device. Public Health Reports 80:55–59</w:t>
      </w:r>
    </w:p>
    <w:bookmarkEnd w:id="97"/>
    <w:bookmarkStart w:id="98" w:name="ref-VSSDCUC"/>
    <w:p>
      <w:pPr>
        <w:pStyle w:val="Bibliography"/>
      </w:pPr>
      <w:r>
        <w:t xml:space="preserve">30. Kronenfeld BJ, Wong DWS (2017) Visualizing Statistical Significance of Disease Clusters Using Cartograms. International Journal of Health Geographics 16:19</w:t>
      </w:r>
    </w:p>
    <w:bookmarkEnd w:id="98"/>
    <w:bookmarkStart w:id="100" w:name="ref-HTLWM"/>
    <w:p>
      <w:pPr>
        <w:pStyle w:val="Bibliography"/>
      </w:pPr>
      <w:r>
        <w:t xml:space="preserve">31. Monmonier M (2018) How to Lie with Maps (Third Edition).</w:t>
      </w:r>
      <w:r>
        <w:t xml:space="preserve"> </w:t>
      </w:r>
      <w:hyperlink r:id="rId99">
        <w:r>
          <w:rPr>
            <w:rStyle w:val="Hyperlink"/>
          </w:rPr>
          <w:t xml:space="preserve">https://doi.org/10.1191/0309132505ph540pr</w:t>
        </w:r>
      </w:hyperlink>
    </w:p>
    <w:bookmarkEnd w:id="100"/>
    <w:bookmarkStart w:id="101" w:name="ref-CBATCC"/>
    <w:p>
      <w:pPr>
        <w:pStyle w:val="Bibliography"/>
      </w:pPr>
      <w:r>
        <w:t xml:space="preserve">32. Kocmoud C, House D (1998) A Constraint-based Approach to Constructing Continuous Cartograms. In: Proc. Symp. Spatial data handling. pp 236–246</w:t>
      </w:r>
    </w:p>
    <w:bookmarkEnd w:id="101"/>
    <w:bookmarkStart w:id="102" w:name="ref-NISCC"/>
    <w:p>
      <w:pPr>
        <w:pStyle w:val="Bibliography"/>
      </w:pPr>
      <w:r>
        <w:t xml:space="preserve">33. Dent BD (1972) A Note on the Importance of Shape in Cartogram Communication. Journal of Geography 71:393–401</w:t>
      </w:r>
    </w:p>
    <w:bookmarkEnd w:id="102"/>
    <w:bookmarkStart w:id="103" w:name="ref-CD"/>
    <w:p>
      <w:pPr>
        <w:pStyle w:val="Bibliography"/>
      </w:pPr>
      <w:r>
        <w:t xml:space="preserve">34. Kraak MJ (2017) Cartographic Design. In: The International Encyclopedia of Geography: People, the Earth, Environment, and Technology. Wiley, United States, pp 1–16</w:t>
      </w:r>
    </w:p>
    <w:bookmarkEnd w:id="103"/>
    <w:bookmarkStart w:id="104" w:name="ref-SAIC"/>
    <w:p>
      <w:pPr>
        <w:pStyle w:val="Bibliography"/>
      </w:pPr>
      <w:r>
        <w:t xml:space="preserve">35. Nusrat S, Kobourov SG (2016) The State of the Art in Cartograms. Computer Graphics Forum 35:619–642</w:t>
      </w:r>
    </w:p>
    <w:bookmarkEnd w:id="104"/>
    <w:bookmarkStart w:id="105" w:name="ref-ECGC"/>
    <w:p>
      <w:pPr>
        <w:pStyle w:val="Bibliography"/>
      </w:pPr>
      <w:r>
        <w:t xml:space="preserve">36. Keim DA, North SC, Panse C, Schneidewind J (2002) Efficient Cartogram Generation: A Comparison. In: IEEE Symposium on Information Visualization, 2002. INFOVIS 2002. IEEE, pp 33–36</w:t>
      </w:r>
    </w:p>
    <w:bookmarkEnd w:id="105"/>
    <w:bookmarkStart w:id="106" w:name="ref-TVDQI"/>
    <w:p>
      <w:pPr>
        <w:pStyle w:val="Bibliography"/>
      </w:pPr>
      <w:r>
        <w:t xml:space="preserve">37. Tufte ER (2001) The visual display of quantitative information. Graphics press Cheshire, CT</w:t>
      </w:r>
    </w:p>
    <w:bookmarkEnd w:id="106"/>
    <w:bookmarkStart w:id="107" w:name="ref-RSCW"/>
    <w:p>
      <w:pPr>
        <w:pStyle w:val="Bibliography"/>
      </w:pPr>
      <w:r>
        <w:t xml:space="preserve">38. Raisz E (1963) Rectangular Statistical Cartograms of the World. Journal of Geography 35:8–10</w:t>
      </w:r>
    </w:p>
    <w:bookmarkEnd w:id="107"/>
    <w:bookmarkStart w:id="108" w:name="ref-TFYCC"/>
    <w:p>
      <w:pPr>
        <w:pStyle w:val="Bibliography"/>
      </w:pPr>
      <w:r>
        <w:t xml:space="preserve">39. Tobler W (2004) Thirty Five Years of Computer Cartograms. Annals of the Association of American Geographers 94:58–73</w:t>
      </w:r>
    </w:p>
    <w:bookmarkEnd w:id="108"/>
    <w:bookmarkStart w:id="109" w:name="ref-CDWCS"/>
    <w:p>
      <w:pPr>
        <w:pStyle w:val="Bibliography"/>
      </w:pPr>
      <w:r>
        <w:t xml:space="preserve">40. Monmonier M (2005) Cartography: Distortions, World-views and Creative Solutions. Progress in Human Geography 29:217–224</w:t>
      </w:r>
    </w:p>
    <w:bookmarkEnd w:id="109"/>
    <w:bookmarkStart w:id="110" w:name="ref-ORC"/>
    <w:p>
      <w:pPr>
        <w:pStyle w:val="Bibliography"/>
      </w:pPr>
      <w:r>
        <w:t xml:space="preserve">41. Kreveld M van, Speckmann B (2007) On rectangular cartograms. Computational Geometry 37:175–187</w:t>
      </w:r>
    </w:p>
    <w:bookmarkEnd w:id="110"/>
    <w:bookmarkStart w:id="111" w:name="ref-NPR"/>
    <w:p>
      <w:pPr>
        <w:pStyle w:val="Bibliography"/>
      </w:pPr>
      <w:r>
        <w:t xml:space="preserve">42. Montanaro D (2016) NPR Battleground Map: Hillary Clinton Is Winning — And It’s Not Close.</w:t>
      </w:r>
      <w:r>
        <w:t xml:space="preserve"> </w:t>
      </w:r>
    </w:p>
    <w:bookmarkEnd w:id="111"/>
    <w:bookmarkStart w:id="112" w:name="ref-FiveThirtyEight"/>
    <w:p>
      <w:pPr>
        <w:pStyle w:val="Bibliography"/>
      </w:pPr>
      <w:r>
        <w:t xml:space="preserve">43. Kanjana J, Mehta D (2016) Who will win the presidency?</w:t>
      </w:r>
      <w:r>
        <w:t xml:space="preserve"> </w:t>
      </w:r>
    </w:p>
    <w:bookmarkEnd w:id="112"/>
    <w:bookmarkStart w:id="113" w:name="ref-WSJ"/>
    <w:p>
      <w:pPr>
        <w:pStyle w:val="Bibliography"/>
      </w:pPr>
      <w:r>
        <w:t xml:space="preserve">44. Zitner A, Yeip R, Wolfe J (2016) Draw the 2016 Electoral College Map.</w:t>
      </w:r>
      <w:r>
        <w:t xml:space="preserve"> </w:t>
      </w:r>
    </w:p>
    <w:bookmarkEnd w:id="113"/>
    <w:bookmarkStart w:id="114" w:name="ref-WP"/>
    <w:p>
      <w:pPr>
        <w:pStyle w:val="Bibliography"/>
      </w:pPr>
      <w:r>
        <w:t xml:space="preserve">45. Gamio L, D. C (2016) Poll: Redrawing the electoral map.</w:t>
      </w:r>
      <w:r>
        <w:t xml:space="preserve"> </w:t>
      </w:r>
    </w:p>
    <w:bookmarkEnd w:id="114"/>
    <w:bookmarkStart w:id="115" w:name="ref-MDAC"/>
    <w:p>
      <w:pPr>
        <w:pStyle w:val="Bibliography"/>
      </w:pPr>
      <w:r>
        <w:t xml:space="preserve">46. Cano RG, Buchin K, Castermans T, Pieterse A, Sonke W, Speckmann B (2015) Mosaic Drawings and Cartograms. In: Computer graphics forum. Wiley Online Library, pp 361–370</w:t>
      </w:r>
    </w:p>
    <w:bookmarkEnd w:id="115"/>
    <w:bookmarkStart w:id="116" w:name="ref-IGF"/>
    <w:p>
      <w:pPr>
        <w:pStyle w:val="Bibliography"/>
      </w:pPr>
      <w:r>
        <w:t xml:space="preserve">47. Hafen R (2019) Geofacet: ’Ggplot2’ faceting utilities for geographical data.</w:t>
      </w:r>
      <w:r>
        <w:t xml:space="preserve"> </w:t>
      </w:r>
    </w:p>
    <w:bookmarkEnd w:id="116"/>
    <w:bookmarkStart w:id="117" w:name="ref-MMST"/>
    <w:p>
      <w:pPr>
        <w:pStyle w:val="Bibliography"/>
      </w:pPr>
      <w:r>
        <w:t xml:space="preserve">48. W. PL, Carr DB, Pearson JB (2015) micromapST: Exploring and Communicating Geospatial Patterns in US State Data. Journal of Statistical Software 63:1–25</w:t>
      </w:r>
    </w:p>
    <w:bookmarkEnd w:id="117"/>
    <w:bookmarkStart w:id="119" w:name="ref-VUADBC"/>
    <w:p>
      <w:pPr>
        <w:pStyle w:val="Bibliography"/>
      </w:pPr>
      <w:r>
        <w:t xml:space="preserve">49. Lucchesi LR, K. WC (2017) Visualizing Uncertainty in Areal Data with Bivariate Choropleth Maps, Map Pixelation and Glyph Rotation. Stat.</w:t>
      </w:r>
      <w:r>
        <w:t xml:space="preserve"> </w:t>
      </w:r>
      <w:hyperlink r:id="rId118">
        <w:r>
          <w:rPr>
            <w:rStyle w:val="Hyperlink"/>
          </w:rPr>
          <w:t xml:space="preserve">https://doi.org/10.1002/sta4.150</w:t>
        </w:r>
      </w:hyperlink>
    </w:p>
    <w:bookmarkEnd w:id="119"/>
    <w:bookmarkStart w:id="121" w:name="ref-IARC_3"/>
    <w:p>
      <w:pPr>
        <w:pStyle w:val="Bibliography"/>
      </w:pPr>
      <w:r>
        <w:t xml:space="preserve">50. Ferlay J, Ervik M, Lam F, Colombet M, Mery L, Piñeros M, Znaor A, Soerjomataram I, Bray F (2018) Global Cancer Observatory: Cancer Today.</w:t>
      </w:r>
      <w:r>
        <w:t xml:space="preserve"> </w:t>
      </w:r>
      <w:hyperlink r:id="rId120">
        <w:r>
          <w:rPr>
            <w:rStyle w:val="Hyperlink"/>
          </w:rPr>
          <w:t xml:space="preserve">https://gco.iarc.fr/today</w:t>
        </w:r>
      </w:hyperlink>
      <w:r>
        <w:t xml:space="preserve">.</w:t>
      </w:r>
      <w:r>
        <w:t xml:space="preserve"> </w:t>
      </w:r>
    </w:p>
    <w:bookmarkEnd w:id="121"/>
    <w:bookmarkStart w:id="123" w:name="ref-NICR_1"/>
    <w:p>
      <w:pPr>
        <w:pStyle w:val="Bibliography"/>
      </w:pPr>
      <w:r>
        <w:t xml:space="preserve">51. Northern Ireland Cancer Registry (2011) All-Ireland Cancer Atlas (1995-2007).</w:t>
      </w:r>
      <w:r>
        <w:t xml:space="preserve"> </w:t>
      </w:r>
      <w:hyperlink r:id="rId122">
        <w:r>
          <w:rPr>
            <w:rStyle w:val="Hyperlink"/>
          </w:rPr>
          <w:t xml:space="preserve">http://www.ncri.ie/publications/cancer-atlases</w:t>
        </w:r>
      </w:hyperlink>
      <w:r>
        <w:t xml:space="preserve">.</w:t>
      </w:r>
      <w:r>
        <w:t xml:space="preserve"> </w:t>
      </w:r>
    </w:p>
    <w:bookmarkEnd w:id="123"/>
    <w:bookmarkStart w:id="124" w:name="ref-mcgranaghan1993cartographic"/>
    <w:p>
      <w:pPr>
        <w:pStyle w:val="Bibliography"/>
      </w:pPr>
      <w:r>
        <w:t xml:space="preserve">52. McGranaghan M (1993) A Cartographic View of Spatial Data Quality. Cartographica: The International Journal for Geographic Information and Geovisualization 30:8–19</w:t>
      </w:r>
    </w:p>
    <w:bookmarkEnd w:id="124"/>
    <w:bookmarkStart w:id="125" w:name="ref-cliburn2002design"/>
    <w:p>
      <w:pPr>
        <w:pStyle w:val="Bibliography"/>
      </w:pPr>
      <w:r>
        <w:t xml:space="preserve">53. Cliburn DC, Feddema JJ, Miller JR, Slocum TA (2002) Design and Evaluation of a Decision Support System in a Water Balance Application. Computers &amp; Graphics 26:931–949</w:t>
      </w:r>
    </w:p>
    <w:bookmarkEnd w:id="125"/>
    <w:bookmarkStart w:id="126" w:name="ref-DMIV"/>
    <w:p>
      <w:pPr>
        <w:pStyle w:val="Bibliography"/>
      </w:pPr>
      <w:r>
        <w:t xml:space="preserve">54. Perin C (2014) Direct Manipulation for Information Visualization. Theses, Université Paris Sud - Paris XI</w:t>
      </w:r>
    </w:p>
    <w:bookmarkEnd w:id="126"/>
    <w:bookmarkStart w:id="127" w:name="ref-goodchild1994introduction"/>
    <w:p>
      <w:pPr>
        <w:pStyle w:val="Bibliography"/>
      </w:pPr>
      <w:r>
        <w:t xml:space="preserve">55. Goodchild M, Buttenfield B, Wood J (1994) On Introduction to Visualizing Data Validity. Visualization in geographical information systems 141–149</w:t>
      </w:r>
    </w:p>
    <w:bookmarkEnd w:id="127"/>
    <w:bookmarkStart w:id="128" w:name="ref-maceachren1992visualizing"/>
    <w:p>
      <w:pPr>
        <w:pStyle w:val="Bibliography"/>
      </w:pPr>
      <w:r>
        <w:t xml:space="preserve">56. MacEachren AM (1992) Visualizing Uncertain Information. Cartographic Perspectives 10–19</w:t>
      </w:r>
    </w:p>
    <w:bookmarkEnd w:id="128"/>
    <w:bookmarkStart w:id="129" w:name="ref-van1994visualization"/>
    <w:p>
      <w:pPr>
        <w:pStyle w:val="Bibliography"/>
      </w:pPr>
      <w:r>
        <w:t xml:space="preserve">57. Van der Wel FJ, Hootsmans RM, Ormeling F (1994) Visualization of Data Quality. In: Modern cartography series. Elsevier, pp 313–331</w:t>
      </w:r>
    </w:p>
    <w:bookmarkEnd w:id="129"/>
    <w:bookmarkStart w:id="130" w:name="ref-DQBCM"/>
    <w:p>
      <w:pPr>
        <w:pStyle w:val="Bibliography"/>
      </w:pPr>
      <w:r>
        <w:t xml:space="preserve">58. Dang G, North C, Shneiderman B (2001) Dynamic Queries and Brushing on Choropleth Maps. In: Proceedings Fifth International Conference on Information Visualisation. pp 757–764</w:t>
      </w:r>
    </w:p>
    <w:bookmarkEnd w:id="130"/>
    <w:bookmarkStart w:id="131" w:name="ref-TNTEA"/>
    <w:p>
      <w:pPr>
        <w:pStyle w:val="Bibliography"/>
      </w:pPr>
      <w:r>
        <w:t xml:space="preserve">59. Carr DB, Wallin JF, Carr DA (2000) Two New Templates for Epidemiology Applications: Linked Micromap Plots and Conditioned Choropleth Maps. Statistics in Medicine 19:2521–2538</w:t>
      </w:r>
    </w:p>
    <w:bookmarkEnd w:id="131"/>
    <w:bookmarkStart w:id="133" w:name="ref-TGA"/>
    <w:p>
      <w:pPr>
        <w:pStyle w:val="Bibliography"/>
      </w:pPr>
      <w:r>
        <w:t xml:space="preserve">60. Pedersen TL (2018) The Grammar of Animation.</w:t>
      </w:r>
      <w:r>
        <w:t xml:space="preserve"> </w:t>
      </w:r>
      <w:hyperlink r:id="rId132">
        <w:r>
          <w:rPr>
            <w:rStyle w:val="Hyperlink"/>
          </w:rPr>
          <w:t xml:space="preserve">https://youtu.be/21ZWDrTukEs</w:t>
        </w:r>
      </w:hyperlink>
      <w:r>
        <w:t xml:space="preserve">. Accessed 16 Nov 2018</w:t>
      </w:r>
    </w:p>
    <w:bookmarkEnd w:id="133"/>
    <w:bookmarkStart w:id="134" w:name="ref-gganimate"/>
    <w:p>
      <w:pPr>
        <w:pStyle w:val="Bibliography"/>
      </w:pPr>
      <w:r>
        <w:t xml:space="preserve">61. Pedersen TL, Robinson D (2019) gganimate: A Grammar of Animated Graphics.</w:t>
      </w:r>
      <w:r>
        <w:t xml:space="preserve"> </w:t>
      </w:r>
    </w:p>
    <w:bookmarkEnd w:id="134"/>
    <w:bookmarkStart w:id="136" w:name="ref-TACA"/>
    <w:p>
      <w:pPr>
        <w:pStyle w:val="Bibliography"/>
      </w:pPr>
      <w:r>
        <w:t xml:space="preserve">62. Cancer Council Queensland, Queensland University of Technology, and Cooperative Research Centre for Spatial Information (2018) Australian Cancer Atlas.</w:t>
      </w:r>
      <w:r>
        <w:t xml:space="preserve"> </w:t>
      </w:r>
      <w:hyperlink r:id="rId135">
        <w:r>
          <w:rPr>
            <w:rStyle w:val="Hyperlink"/>
          </w:rPr>
          <w:t xml:space="preserve">https://atlas.cancer.org.au</w:t>
        </w:r>
      </w:hyperlink>
      <w:r>
        <w:t xml:space="preserve">.</w:t>
      </w:r>
      <w:r>
        <w:t xml:space="preserve"> </w:t>
      </w:r>
    </w:p>
    <w:bookmarkEnd w:id="136"/>
    <w:bookmarkStart w:id="137" w:name="ref-R"/>
    <w:p>
      <w:pPr>
        <w:pStyle w:val="Bibliography"/>
      </w:pPr>
      <w:r>
        <w:t xml:space="preserve">63. R Core Team (2019) R: A Language and Environment for Statistical Computing. R Foundation for Statistical Computing, Vienna, Austria</w:t>
      </w:r>
    </w:p>
    <w:bookmarkEnd w:id="137"/>
    <w:bookmarkStart w:id="139" w:name="ref-tidyverse"/>
    <w:p>
      <w:pPr>
        <w:pStyle w:val="Bibliography"/>
      </w:pPr>
      <w:r>
        <w:t xml:space="preserve">64. Wickham H (2017) tidyverse: R packages for data science.</w:t>
      </w:r>
      <w:r>
        <w:t xml:space="preserve"> </w:t>
      </w:r>
      <w:hyperlink r:id="rId138">
        <w:r>
          <w:rPr>
            <w:rStyle w:val="Hyperlink"/>
          </w:rPr>
          <w:t xml:space="preserve">https://CRAN.R-project.org/package=tidyverse</w:t>
        </w:r>
      </w:hyperlink>
      <w:r>
        <w:t xml:space="preserve">.</w:t>
      </w:r>
      <w:r>
        <w:t xml:space="preserve"> </w:t>
      </w:r>
    </w:p>
    <w:bookmarkEnd w:id="139"/>
    <w:bookmarkStart w:id="141" w:name="ref-RColorBrewer"/>
    <w:p>
      <w:pPr>
        <w:pStyle w:val="Bibliography"/>
      </w:pPr>
      <w:r>
        <w:t xml:space="preserve">65. Neuwirth E (2014) RColorBrewer: ColorBrewer palettes.</w:t>
      </w:r>
      <w:r>
        <w:t xml:space="preserve"> </w:t>
      </w:r>
      <w:hyperlink r:id="rId140">
        <w:r>
          <w:rPr>
            <w:rStyle w:val="Hyperlink"/>
          </w:rPr>
          <w:t xml:space="preserve">https://CRAN.R-project.org/package=RColorBrewer</w:t>
        </w:r>
      </w:hyperlink>
      <w:r>
        <w:t xml:space="preserve">.</w:t>
      </w:r>
      <w:r>
        <w:t xml:space="preserve"> </w:t>
      </w:r>
    </w:p>
    <w:bookmarkEnd w:id="141"/>
    <w:bookmarkStart w:id="143" w:name="ref-ggthemes"/>
    <w:p>
      <w:pPr>
        <w:pStyle w:val="Bibliography"/>
      </w:pPr>
      <w:r>
        <w:t xml:space="preserve">66. Arnold JB (2019) ggthemes: Extra Themes, Scales and Geoms for ’ggplot2’.</w:t>
      </w:r>
      <w:r>
        <w:t xml:space="preserve"> </w:t>
      </w:r>
      <w:hyperlink r:id="rId142">
        <w:r>
          <w:rPr>
            <w:rStyle w:val="Hyperlink"/>
          </w:rPr>
          <w:t xml:space="preserve">https://CRAN.R-project.org/package=ggthemes</w:t>
        </w:r>
      </w:hyperlink>
      <w:r>
        <w:t xml:space="preserve">.</w:t>
      </w:r>
      <w:r>
        <w:t xml:space="preserve"> </w:t>
      </w:r>
    </w:p>
    <w:bookmarkEnd w:id="143"/>
    <w:bookmarkStart w:id="145" w:name="ref-png"/>
    <w:p>
      <w:pPr>
        <w:pStyle w:val="Bibliography"/>
      </w:pPr>
      <w:r>
        <w:t xml:space="preserve">67. Urbanek S (2013) png: Read and write PNG images.</w:t>
      </w:r>
      <w:r>
        <w:t xml:space="preserve"> </w:t>
      </w:r>
      <w:hyperlink r:id="rId144">
        <w:r>
          <w:rPr>
            <w:rStyle w:val="Hyperlink"/>
          </w:rPr>
          <w:t xml:space="preserve">https://CRAN.R-project.org/package=png</w:t>
        </w:r>
      </w:hyperlink>
      <w:r>
        <w:t xml:space="preserve">.</w:t>
      </w:r>
      <w:r>
        <w:t xml:space="preserve"> </w:t>
      </w:r>
    </w:p>
    <w:bookmarkEnd w:id="145"/>
    <w:bookmarkStart w:id="147" w:name="ref-cowplot"/>
    <w:p>
      <w:pPr>
        <w:pStyle w:val="Bibliography"/>
      </w:pPr>
      <w:r>
        <w:t xml:space="preserve">68. Wilke CO (2019) cowplot: Streamlined Plot Theme and Plot Annotations for ’ggplot2’.</w:t>
      </w:r>
      <w:r>
        <w:t xml:space="preserve"> </w:t>
      </w:r>
      <w:hyperlink r:id="rId146">
        <w:r>
          <w:rPr>
            <w:rStyle w:val="Hyperlink"/>
          </w:rPr>
          <w:t xml:space="preserve">https://CRAN.R-project.org/package=cowplot</w:t>
        </w:r>
      </w:hyperlink>
      <w:r>
        <w:t xml:space="preserve">.</w:t>
      </w:r>
      <w:r>
        <w:t xml:space="preserve"> </w:t>
      </w:r>
    </w:p>
    <w:bookmarkEnd w:id="147"/>
    <w:bookmarkStart w:id="148" w:name="ref-sf"/>
    <w:p>
      <w:pPr>
        <w:pStyle w:val="Bibliography"/>
      </w:pPr>
      <w:r>
        <w:t xml:space="preserve">69. Pebesma E (2018) Simple Features for R: Standardized Support for Spatial Vector Data. The R Journal 10:439–446</w:t>
      </w:r>
    </w:p>
    <w:bookmarkEnd w:id="148"/>
    <w:bookmarkStart w:id="150" w:name="ref-spData"/>
    <w:p>
      <w:pPr>
        <w:pStyle w:val="Bibliography"/>
      </w:pPr>
      <w:r>
        <w:t xml:space="preserve">70. Bivand R, Nowosad J, Lovelace R (2019) spData: Datasets for Spatial Analysis.</w:t>
      </w:r>
      <w:r>
        <w:t xml:space="preserve"> </w:t>
      </w:r>
      <w:hyperlink r:id="rId149">
        <w:r>
          <w:rPr>
            <w:rStyle w:val="Hyperlink"/>
          </w:rPr>
          <w:t xml:space="preserve">https://CRAN.R-project.org/package=spData</w:t>
        </w:r>
      </w:hyperlink>
      <w:r>
        <w:t xml:space="preserve">.</w:t>
      </w:r>
      <w:r>
        <w:t xml:space="preserve"> </w:t>
      </w:r>
    </w:p>
    <w:bookmarkEnd w:id="150"/>
    <w:bookmarkStart w:id="152" w:name="ref-cartogram"/>
    <w:p>
      <w:pPr>
        <w:pStyle w:val="Bibliography"/>
      </w:pPr>
      <w:r>
        <w:t xml:space="preserve">71. Jeworutzki S (2018) cartogram: Create Cartograms with R.</w:t>
      </w:r>
      <w:r>
        <w:t xml:space="preserve"> </w:t>
      </w:r>
      <w:hyperlink r:id="rId151">
        <w:r>
          <w:rPr>
            <w:rStyle w:val="Hyperlink"/>
          </w:rPr>
          <w:t xml:space="preserve">https://CRAN.R-project.org/package=cartogram</w:t>
        </w:r>
      </w:hyperlink>
      <w:r>
        <w:t xml:space="preserve">.</w:t>
      </w:r>
      <w:r>
        <w:t xml:space="preserve"> </w:t>
      </w:r>
    </w:p>
    <w:bookmarkEnd w:id="152"/>
    <w:bookmarkStart w:id="154" w:name="ref-sugarbag"/>
    <w:p>
      <w:pPr>
        <w:pStyle w:val="Bibliography"/>
      </w:pPr>
      <w:r>
        <w:t xml:space="preserve">72. Kobakian S, Cook D (2019) sugarbag: Create Tessellated Hexagon Maps.</w:t>
      </w:r>
      <w:r>
        <w:t xml:space="preserve"> </w:t>
      </w:r>
      <w:hyperlink r:id="rId153">
        <w:r>
          <w:rPr>
            <w:rStyle w:val="Hyperlink"/>
          </w:rPr>
          <w:t xml:space="preserve">https://CRAN.R-project.org/package=sugarbag</w:t>
        </w:r>
      </w:hyperlink>
      <w:r>
        <w:t xml:space="preserve">.</w:t>
      </w:r>
      <w:r>
        <w:t xml:space="preserve"> </w:t>
      </w:r>
    </w:p>
    <w:bookmarkEnd w:id="154"/>
    <w:bookmarkStart w:id="155" w:name="ref-knitr"/>
    <w:p>
      <w:pPr>
        <w:pStyle w:val="Bibliography"/>
      </w:pPr>
      <w:r>
        <w:t xml:space="preserve">73. Xie Y (2019) knitr: A General-Purpose Package for Dynamic Report Generation in R.</w:t>
      </w:r>
      <w:r>
        <w:t xml:space="preserve"> </w:t>
      </w:r>
    </w:p>
    <w:bookmarkEnd w:id="155"/>
    <w:bookmarkStart w:id="156" w:name="ref-rmarkdown"/>
    <w:p>
      <w:pPr>
        <w:pStyle w:val="Bibliography"/>
      </w:pPr>
      <w:r>
        <w:t xml:space="preserve">74. Allaire J, Xie Y, McPherson J, Luraschi J, Ushey K, Atkins A, Wickham H, Cheng J, Chang W, Iannone R (2019) rmarkdown: Dynamic Documents for R.</w:t>
      </w:r>
      <w:r>
        <w:t xml:space="preserve"> </w:t>
      </w:r>
    </w:p>
    <w:bookmarkEnd w:id="156"/>
    <w:bookmarkStart w:id="157" w:name="ref-ABSmaps"/>
    <w:p>
      <w:pPr>
        <w:pStyle w:val="Bibliography"/>
      </w:pPr>
      <w:r>
        <w:t xml:space="preserve">75. Mackey, W. F. (2019) Absmapsdata: A catalogue of ready-to-use asgs mapping data.</w:t>
      </w:r>
      <w:r>
        <w:t xml:space="preserve"> </w:t>
      </w:r>
    </w:p>
    <w:bookmarkEnd w:id="157"/>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2"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0" Target="https://CRAN.R-project.org/package=RColorBrewer" TargetMode="External" /><Relationship Type="http://schemas.openxmlformats.org/officeDocument/2006/relationships/hyperlink" Id="rId151" Target="https://CRAN.R-project.org/package=cartogram" TargetMode="External" /><Relationship Type="http://schemas.openxmlformats.org/officeDocument/2006/relationships/hyperlink" Id="rId146" Target="https://CRAN.R-project.org/package=cowplot" TargetMode="External" /><Relationship Type="http://schemas.openxmlformats.org/officeDocument/2006/relationships/hyperlink" Id="rId142" Target="https://CRAN.R-project.org/package=ggthemes" TargetMode="External" /><Relationship Type="http://schemas.openxmlformats.org/officeDocument/2006/relationships/hyperlink" Id="rId144" Target="https://CRAN.R-project.org/package=png" TargetMode="External" /><Relationship Type="http://schemas.openxmlformats.org/officeDocument/2006/relationships/hyperlink" Id="rId149" Target="https://CRAN.R-project.org/package=spData" TargetMode="External" /><Relationship Type="http://schemas.openxmlformats.org/officeDocument/2006/relationships/hyperlink" Id="rId153" Target="https://CRAN.R-project.org/package=sugarbag" TargetMode="External" /><Relationship Type="http://schemas.openxmlformats.org/officeDocument/2006/relationships/hyperlink" Id="rId138"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5"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8" Target="https://doi.org/10.1002/sta4.150" TargetMode="External" /><Relationship Type="http://schemas.openxmlformats.org/officeDocument/2006/relationships/hyperlink" Id="rId99"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0"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2"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2"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0" Target="https://CRAN.R-project.org/package=RColorBrewer" TargetMode="External" /><Relationship Type="http://schemas.openxmlformats.org/officeDocument/2006/relationships/hyperlink" Id="rId151" Target="https://CRAN.R-project.org/package=cartogram" TargetMode="External" /><Relationship Type="http://schemas.openxmlformats.org/officeDocument/2006/relationships/hyperlink" Id="rId146" Target="https://CRAN.R-project.org/package=cowplot" TargetMode="External" /><Relationship Type="http://schemas.openxmlformats.org/officeDocument/2006/relationships/hyperlink" Id="rId142" Target="https://CRAN.R-project.org/package=ggthemes" TargetMode="External" /><Relationship Type="http://schemas.openxmlformats.org/officeDocument/2006/relationships/hyperlink" Id="rId144" Target="https://CRAN.R-project.org/package=png" TargetMode="External" /><Relationship Type="http://schemas.openxmlformats.org/officeDocument/2006/relationships/hyperlink" Id="rId149" Target="https://CRAN.R-project.org/package=spData" TargetMode="External" /><Relationship Type="http://schemas.openxmlformats.org/officeDocument/2006/relationships/hyperlink" Id="rId153" Target="https://CRAN.R-project.org/package=sugarbag" TargetMode="External" /><Relationship Type="http://schemas.openxmlformats.org/officeDocument/2006/relationships/hyperlink" Id="rId138"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5"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8" Target="https://doi.org/10.1002/sta4.150" TargetMode="External" /><Relationship Type="http://schemas.openxmlformats.org/officeDocument/2006/relationships/hyperlink" Id="rId99"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0"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2"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2020-05-18T04:18:22Z</dcterms:created>
  <dcterms:modified xsi:type="dcterms:W3CDTF">2020-05-18T04:18:22Z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